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2515"/>
        <w:gridCol w:w="1260"/>
        <w:gridCol w:w="5575"/>
      </w:tblGrid>
      <w:tr w:rsidR="00520587" w:rsidRPr="00520587" w14:paraId="38444E11" w14:textId="77777777" w:rsidTr="00D50C3B">
        <w:trPr>
          <w:trHeight w:val="800"/>
        </w:trPr>
        <w:tc>
          <w:tcPr>
            <w:tcW w:w="9350" w:type="dxa"/>
            <w:gridSpan w:val="3"/>
            <w:vAlign w:val="center"/>
          </w:tcPr>
          <w:p w14:paraId="2A48CE0B" w14:textId="77777777" w:rsidR="00E604AE" w:rsidRPr="00520587" w:rsidRDefault="00E604AE" w:rsidP="00C12317">
            <w:pPr>
              <w:jc w:val="center"/>
              <w:rPr>
                <w:rFonts w:ascii="Garamond" w:hAnsi="Garamond"/>
                <w:b/>
                <w:bCs/>
                <w:smallCap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587">
              <w:rPr>
                <w:rFonts w:ascii="Garamond" w:hAnsi="Garamond"/>
                <w:b/>
                <w:bCs/>
                <w:smallCap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Bangladesh</w:t>
            </w:r>
          </w:p>
          <w:p w14:paraId="0DE8D51C" w14:textId="33213907" w:rsidR="0085727C" w:rsidRPr="00520587" w:rsidRDefault="0085727C" w:rsidP="00C12317">
            <w:pPr>
              <w:jc w:val="center"/>
              <w:rPr>
                <w:rFonts w:ascii="Garamond" w:hAnsi="Garamond"/>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587">
              <w:rPr>
                <w:rFonts w:ascii="Garamond" w:hAnsi="Garamond"/>
                <w:smallCaps/>
                <w:color w:val="000000" w:themeColor="text1"/>
                <w:sz w:val="29"/>
                <w:szCs w:val="29"/>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[The People’s Republic of Bangladesh]</w:t>
            </w:r>
          </w:p>
        </w:tc>
      </w:tr>
      <w:tr w:rsidR="00520587" w:rsidRPr="00520587" w14:paraId="53BC8FF0" w14:textId="77777777" w:rsidTr="00C12317">
        <w:trPr>
          <w:trHeight w:val="368"/>
        </w:trPr>
        <w:tc>
          <w:tcPr>
            <w:tcW w:w="9350" w:type="dxa"/>
            <w:gridSpan w:val="3"/>
            <w:vAlign w:val="center"/>
          </w:tcPr>
          <w:p w14:paraId="73B722BD" w14:textId="00CDF148" w:rsidR="00A130DB" w:rsidRPr="00520587" w:rsidRDefault="00A130DB" w:rsidP="00C12317">
            <w:pPr>
              <w:spacing w:line="276" w:lineRule="auto"/>
              <w:jc w:val="center"/>
              <w:rPr>
                <w:rFonts w:ascii="Garamond" w:hAnsi="Garamond"/>
                <w:b/>
                <w:bCs/>
                <w:smallCaps/>
                <w:color w:val="000000" w:themeColor="text1"/>
                <w:highlight w:val="lightGray"/>
              </w:rPr>
            </w:pPr>
            <w:r w:rsidRPr="00520587">
              <w:rPr>
                <w:rFonts w:ascii="Garamond" w:hAnsi="Garamond"/>
                <w:b/>
                <w:bCs/>
                <w:smallCaps/>
                <w:color w:val="000000" w:themeColor="text1"/>
              </w:rPr>
              <w:t>Competition Framework</w:t>
            </w:r>
          </w:p>
        </w:tc>
      </w:tr>
      <w:tr w:rsidR="00520587" w:rsidRPr="00520587" w14:paraId="100950EB" w14:textId="77777777" w:rsidTr="00020065">
        <w:trPr>
          <w:trHeight w:val="512"/>
        </w:trPr>
        <w:tc>
          <w:tcPr>
            <w:tcW w:w="2515" w:type="dxa"/>
            <w:vMerge w:val="restart"/>
            <w:vAlign w:val="center"/>
          </w:tcPr>
          <w:p w14:paraId="2F73B32D" w14:textId="786DA348" w:rsidR="00EE3E7F" w:rsidRPr="00520587" w:rsidRDefault="00EE3E7F" w:rsidP="00C12317">
            <w:pPr>
              <w:jc w:val="center"/>
              <w:rPr>
                <w:rFonts w:ascii="Garamond" w:hAnsi="Garamond"/>
                <w:b/>
                <w:bCs/>
                <w:color w:val="000000" w:themeColor="text1"/>
                <w:sz w:val="18"/>
                <w:szCs w:val="18"/>
              </w:rPr>
            </w:pPr>
            <w:r w:rsidRPr="00520587">
              <w:rPr>
                <w:rFonts w:ascii="Garamond" w:hAnsi="Garamond"/>
                <w:b/>
                <w:bCs/>
                <w:color w:val="000000" w:themeColor="text1"/>
                <w:sz w:val="18"/>
                <w:szCs w:val="18"/>
              </w:rPr>
              <w:t>Competition Law</w:t>
            </w:r>
          </w:p>
        </w:tc>
        <w:tc>
          <w:tcPr>
            <w:tcW w:w="6835" w:type="dxa"/>
            <w:gridSpan w:val="2"/>
            <w:vAlign w:val="center"/>
          </w:tcPr>
          <w:p w14:paraId="04AD8664" w14:textId="76C8855D" w:rsidR="00EE3E7F" w:rsidRPr="00520587" w:rsidRDefault="00520587" w:rsidP="00EC323E">
            <w:pPr>
              <w:rPr>
                <w:rFonts w:ascii="Garamond" w:hAnsi="Garamond"/>
                <w:i/>
                <w:color w:val="000000" w:themeColor="text1"/>
                <w:sz w:val="18"/>
                <w:szCs w:val="18"/>
                <w:highlight w:val="green"/>
              </w:rPr>
            </w:pPr>
            <w:r w:rsidRPr="00520587">
              <w:rPr>
                <w:rFonts w:ascii="Garamond" w:hAnsi="Garamond"/>
                <w:i/>
                <w:color w:val="000000" w:themeColor="text1"/>
                <w:sz w:val="18"/>
                <w:szCs w:val="18"/>
              </w:rPr>
              <w:t>[</w:t>
            </w:r>
            <w:r w:rsidR="00A87587" w:rsidRPr="00520587">
              <w:rPr>
                <w:rFonts w:ascii="Garamond" w:hAnsi="Garamond"/>
                <w:i/>
                <w:color w:val="000000" w:themeColor="text1"/>
                <w:sz w:val="18"/>
                <w:szCs w:val="18"/>
              </w:rPr>
              <w:t>Please Introduce the Name of the Law</w:t>
            </w:r>
            <w:r w:rsidR="00FD0455" w:rsidRPr="00520587">
              <w:rPr>
                <w:rFonts w:ascii="Garamond" w:hAnsi="Garamond"/>
                <w:i/>
                <w:color w:val="000000" w:themeColor="text1"/>
                <w:sz w:val="18"/>
                <w:szCs w:val="18"/>
              </w:rPr>
              <w:t>s Constituting the National Competition Law Regime. Include the Year</w:t>
            </w:r>
            <w:r w:rsidR="0042236C" w:rsidRPr="00520587">
              <w:rPr>
                <w:rFonts w:ascii="Garamond" w:hAnsi="Garamond"/>
                <w:i/>
                <w:color w:val="000000" w:themeColor="text1"/>
                <w:sz w:val="18"/>
                <w:szCs w:val="18"/>
              </w:rPr>
              <w:t xml:space="preserve"> of Enactment and the Corresponding Amendments as Well</w:t>
            </w:r>
            <w:r w:rsidRPr="00520587">
              <w:rPr>
                <w:rFonts w:ascii="Garamond" w:hAnsi="Garamond"/>
                <w:i/>
                <w:color w:val="000000" w:themeColor="text1"/>
                <w:sz w:val="18"/>
                <w:szCs w:val="18"/>
              </w:rPr>
              <w:t>]</w:t>
            </w:r>
          </w:p>
        </w:tc>
      </w:tr>
      <w:tr w:rsidR="00520587" w:rsidRPr="00520587" w14:paraId="38395488" w14:textId="77777777" w:rsidTr="00C814E6">
        <w:trPr>
          <w:trHeight w:val="719"/>
        </w:trPr>
        <w:tc>
          <w:tcPr>
            <w:tcW w:w="2515" w:type="dxa"/>
            <w:vMerge/>
            <w:vAlign w:val="center"/>
          </w:tcPr>
          <w:p w14:paraId="2540D7C2" w14:textId="77777777" w:rsidR="00EE3E7F" w:rsidRPr="00520587" w:rsidRDefault="00EE3E7F" w:rsidP="00C12317">
            <w:pPr>
              <w:jc w:val="center"/>
              <w:rPr>
                <w:rFonts w:ascii="Garamond" w:hAnsi="Garamond"/>
                <w:color w:val="000000" w:themeColor="text1"/>
                <w:sz w:val="18"/>
                <w:szCs w:val="18"/>
              </w:rPr>
            </w:pPr>
          </w:p>
        </w:tc>
        <w:tc>
          <w:tcPr>
            <w:tcW w:w="6835" w:type="dxa"/>
            <w:gridSpan w:val="2"/>
            <w:vAlign w:val="center"/>
          </w:tcPr>
          <w:p w14:paraId="6EDE3893" w14:textId="093BC2CA" w:rsidR="001F0D19" w:rsidRPr="00520587" w:rsidRDefault="001F0D19" w:rsidP="00F873E4">
            <w:pPr>
              <w:jc w:val="center"/>
              <w:rPr>
                <w:rFonts w:ascii="Garamond" w:hAnsi="Garamond"/>
                <w:b/>
                <w:bCs/>
                <w:color w:val="000000" w:themeColor="text1"/>
                <w:sz w:val="22"/>
                <w:szCs w:val="22"/>
              </w:rPr>
            </w:pPr>
            <w:r w:rsidRPr="00520587">
              <w:rPr>
                <w:rFonts w:ascii="Garamond" w:hAnsi="Garamond"/>
                <w:b/>
                <w:bCs/>
                <w:color w:val="000000" w:themeColor="text1"/>
                <w:sz w:val="22"/>
                <w:szCs w:val="22"/>
              </w:rPr>
              <w:t>The Competition Act, 2012.</w:t>
            </w:r>
          </w:p>
          <w:p w14:paraId="39F440EF" w14:textId="77777777" w:rsidR="00EE3E7F" w:rsidRPr="00520587" w:rsidRDefault="00EE3E7F" w:rsidP="00F873E4">
            <w:pPr>
              <w:jc w:val="center"/>
              <w:rPr>
                <w:rFonts w:ascii="Garamond" w:hAnsi="Garamond"/>
                <w:color w:val="000000" w:themeColor="text1"/>
                <w:sz w:val="18"/>
                <w:szCs w:val="18"/>
              </w:rPr>
            </w:pPr>
            <w:r w:rsidRPr="00520587">
              <w:rPr>
                <w:rFonts w:ascii="Garamond" w:hAnsi="Garamond"/>
                <w:color w:val="000000" w:themeColor="text1"/>
                <w:sz w:val="18"/>
                <w:szCs w:val="18"/>
              </w:rPr>
              <w:t>(Act No. XXIII of 2012)</w:t>
            </w:r>
          </w:p>
          <w:p w14:paraId="43A1FB7A" w14:textId="2134EF68" w:rsidR="00677631" w:rsidRPr="00520587" w:rsidRDefault="00B96262" w:rsidP="00E56B39">
            <w:pPr>
              <w:jc w:val="center"/>
              <w:rPr>
                <w:rFonts w:ascii="Garamond" w:hAnsi="Garamond"/>
                <w:color w:val="000000" w:themeColor="text1"/>
                <w:sz w:val="18"/>
                <w:szCs w:val="18"/>
              </w:rPr>
            </w:pPr>
            <w:r w:rsidRPr="00520587">
              <w:rPr>
                <w:rFonts w:ascii="Garamond" w:hAnsi="Garamond"/>
                <w:color w:val="000000" w:themeColor="text1"/>
                <w:sz w:val="18"/>
                <w:szCs w:val="18"/>
              </w:rPr>
              <w:t>No Amendment</w:t>
            </w:r>
            <w:r w:rsidR="00C42954" w:rsidRPr="00520587">
              <w:rPr>
                <w:rFonts w:ascii="Garamond" w:hAnsi="Garamond"/>
                <w:color w:val="000000" w:themeColor="text1"/>
                <w:sz w:val="18"/>
                <w:szCs w:val="18"/>
              </w:rPr>
              <w:t>.</w:t>
            </w:r>
          </w:p>
        </w:tc>
      </w:tr>
      <w:tr w:rsidR="00520587" w:rsidRPr="00520587" w14:paraId="39291DC0" w14:textId="77777777" w:rsidTr="00C814E6">
        <w:trPr>
          <w:trHeight w:val="1295"/>
        </w:trPr>
        <w:tc>
          <w:tcPr>
            <w:tcW w:w="2515" w:type="dxa"/>
            <w:vMerge w:val="restart"/>
            <w:vAlign w:val="center"/>
          </w:tcPr>
          <w:p w14:paraId="50720FC0" w14:textId="049B67D4" w:rsidR="00F76B9C" w:rsidRPr="00520587" w:rsidRDefault="00F76B9C" w:rsidP="00C12317">
            <w:pPr>
              <w:jc w:val="center"/>
              <w:rPr>
                <w:rFonts w:ascii="Garamond" w:hAnsi="Garamond"/>
                <w:b/>
                <w:bCs/>
                <w:color w:val="000000" w:themeColor="text1"/>
                <w:sz w:val="18"/>
                <w:szCs w:val="18"/>
              </w:rPr>
            </w:pPr>
            <w:r w:rsidRPr="00520587">
              <w:rPr>
                <w:rFonts w:ascii="Garamond" w:hAnsi="Garamond"/>
                <w:b/>
                <w:bCs/>
                <w:color w:val="000000" w:themeColor="text1"/>
                <w:sz w:val="18"/>
                <w:szCs w:val="18"/>
              </w:rPr>
              <w:t>Competition Authority</w:t>
            </w:r>
          </w:p>
        </w:tc>
        <w:tc>
          <w:tcPr>
            <w:tcW w:w="6835" w:type="dxa"/>
            <w:gridSpan w:val="2"/>
            <w:vAlign w:val="center"/>
          </w:tcPr>
          <w:p w14:paraId="42D3246C" w14:textId="05B12EA2" w:rsidR="00F76B9C" w:rsidRPr="00520587" w:rsidRDefault="00520587" w:rsidP="00823133">
            <w:pPr>
              <w:pBdr>
                <w:top w:val="nil"/>
                <w:left w:val="nil"/>
                <w:bottom w:val="nil"/>
                <w:right w:val="nil"/>
                <w:between w:val="nil"/>
              </w:pBdr>
              <w:rPr>
                <w:rFonts w:ascii="Garamond" w:hAnsi="Garamond"/>
                <w:i/>
                <w:color w:val="000000" w:themeColor="text1"/>
                <w:sz w:val="18"/>
                <w:szCs w:val="18"/>
              </w:rPr>
            </w:pPr>
            <w:r w:rsidRPr="00520587">
              <w:rPr>
                <w:rFonts w:ascii="Garamond" w:hAnsi="Garamond"/>
                <w:i/>
                <w:color w:val="000000" w:themeColor="text1"/>
                <w:sz w:val="18"/>
                <w:szCs w:val="18"/>
              </w:rPr>
              <w:t>[</w:t>
            </w:r>
            <w:r w:rsidR="00EC323E" w:rsidRPr="00520587">
              <w:rPr>
                <w:rFonts w:ascii="Garamond" w:hAnsi="Garamond"/>
                <w:i/>
                <w:color w:val="000000" w:themeColor="text1"/>
                <w:sz w:val="18"/>
                <w:szCs w:val="18"/>
              </w:rPr>
              <w:t>Please introduce here the name of the competition authorities that are part of the enforcement process of the laws mentioned in the previous question. In that regard, please specify the norms that established those agencies, the year in which they started operation, and their website. Include tribunals only if they have a role in the process of founding guilt and imposing sanctions. This point specifically excludes judicial authorities that only have judicial review powers]</w:t>
            </w:r>
          </w:p>
        </w:tc>
      </w:tr>
      <w:tr w:rsidR="00520587" w:rsidRPr="00520587" w14:paraId="29620996" w14:textId="77777777" w:rsidTr="00C12317">
        <w:trPr>
          <w:trHeight w:val="1265"/>
        </w:trPr>
        <w:tc>
          <w:tcPr>
            <w:tcW w:w="2515" w:type="dxa"/>
            <w:vMerge/>
            <w:vAlign w:val="center"/>
          </w:tcPr>
          <w:p w14:paraId="7F561F48" w14:textId="77777777" w:rsidR="00F76B9C" w:rsidRPr="00520587" w:rsidRDefault="00F76B9C" w:rsidP="00C12317">
            <w:pPr>
              <w:jc w:val="center"/>
              <w:rPr>
                <w:rFonts w:ascii="Garamond" w:hAnsi="Garamond"/>
                <w:b/>
                <w:bCs/>
                <w:color w:val="000000" w:themeColor="text1"/>
                <w:sz w:val="18"/>
                <w:szCs w:val="18"/>
              </w:rPr>
            </w:pPr>
          </w:p>
        </w:tc>
        <w:tc>
          <w:tcPr>
            <w:tcW w:w="6835" w:type="dxa"/>
            <w:gridSpan w:val="2"/>
          </w:tcPr>
          <w:p w14:paraId="537BDE76" w14:textId="5651355C" w:rsidR="00F76B9C" w:rsidRPr="00520587" w:rsidRDefault="00F76B9C" w:rsidP="00110325">
            <w:pPr>
              <w:spacing w:line="276" w:lineRule="auto"/>
              <w:rPr>
                <w:rFonts w:ascii="Garamond" w:hAnsi="Garamond"/>
                <w:color w:val="000000" w:themeColor="text1"/>
                <w:sz w:val="18"/>
                <w:szCs w:val="18"/>
              </w:rPr>
            </w:pPr>
            <w:r w:rsidRPr="00520587">
              <w:rPr>
                <w:rFonts w:ascii="Garamond" w:hAnsi="Garamond"/>
                <w:b/>
                <w:bCs/>
                <w:color w:val="000000" w:themeColor="text1"/>
                <w:sz w:val="18"/>
                <w:szCs w:val="18"/>
              </w:rPr>
              <w:t>Bangladesh Competition Commission (BCC)</w:t>
            </w:r>
            <w:r w:rsidR="00F67932" w:rsidRPr="00520587">
              <w:rPr>
                <w:rFonts w:ascii="Garamond" w:hAnsi="Garamond"/>
                <w:b/>
                <w:bCs/>
                <w:color w:val="000000" w:themeColor="text1"/>
                <w:sz w:val="18"/>
                <w:szCs w:val="18"/>
              </w:rPr>
              <w:t>.</w:t>
            </w:r>
          </w:p>
          <w:p w14:paraId="07A0468B" w14:textId="77777777" w:rsidR="00342D61" w:rsidRDefault="00342D61" w:rsidP="00110325">
            <w:pPr>
              <w:spacing w:line="276" w:lineRule="auto"/>
              <w:rPr>
                <w:rFonts w:ascii="Garamond" w:hAnsi="Garamond"/>
                <w:color w:val="000000" w:themeColor="text1"/>
                <w:sz w:val="18"/>
                <w:szCs w:val="18"/>
              </w:rPr>
            </w:pPr>
          </w:p>
          <w:p w14:paraId="4A0D5705" w14:textId="446AC6EB" w:rsidR="00A4448F" w:rsidRDefault="00F6669B" w:rsidP="00110325">
            <w:pPr>
              <w:spacing w:line="276" w:lineRule="auto"/>
              <w:rPr>
                <w:rFonts w:ascii="Garamond" w:hAnsi="Garamond"/>
                <w:color w:val="000000" w:themeColor="text1"/>
                <w:sz w:val="18"/>
                <w:szCs w:val="18"/>
              </w:rPr>
            </w:pPr>
            <w:r w:rsidRPr="00520587">
              <w:rPr>
                <w:rFonts w:ascii="Garamond" w:hAnsi="Garamond"/>
                <w:color w:val="000000" w:themeColor="text1"/>
                <w:sz w:val="18"/>
                <w:szCs w:val="18"/>
              </w:rPr>
              <w:t xml:space="preserve">By gazette notification, </w:t>
            </w:r>
            <w:r w:rsidR="00854DE1" w:rsidRPr="00520587">
              <w:rPr>
                <w:rFonts w:ascii="Garamond" w:hAnsi="Garamond"/>
                <w:color w:val="000000" w:themeColor="text1"/>
                <w:sz w:val="18"/>
                <w:szCs w:val="18"/>
              </w:rPr>
              <w:t>BCC</w:t>
            </w:r>
            <w:r w:rsidR="00F76B9C" w:rsidRPr="00520587">
              <w:rPr>
                <w:rFonts w:ascii="Garamond" w:hAnsi="Garamond"/>
                <w:color w:val="000000" w:themeColor="text1"/>
                <w:sz w:val="18"/>
                <w:szCs w:val="18"/>
              </w:rPr>
              <w:t xml:space="preserve"> was</w:t>
            </w:r>
            <w:r w:rsidR="00854DE1" w:rsidRPr="00520587">
              <w:rPr>
                <w:rFonts w:ascii="Garamond" w:hAnsi="Garamond"/>
                <w:color w:val="000000" w:themeColor="text1"/>
                <w:sz w:val="18"/>
                <w:szCs w:val="18"/>
              </w:rPr>
              <w:t xml:space="preserve"> </w:t>
            </w:r>
            <w:r w:rsidR="001C0C70" w:rsidRPr="00520587">
              <w:rPr>
                <w:rFonts w:ascii="Garamond" w:hAnsi="Garamond"/>
                <w:color w:val="000000" w:themeColor="text1"/>
                <w:sz w:val="18"/>
                <w:szCs w:val="18"/>
              </w:rPr>
              <w:t>established</w:t>
            </w:r>
            <w:r w:rsidR="00F76B9C" w:rsidRPr="00520587">
              <w:rPr>
                <w:rFonts w:ascii="Garamond" w:hAnsi="Garamond"/>
                <w:color w:val="000000" w:themeColor="text1"/>
                <w:sz w:val="18"/>
                <w:szCs w:val="18"/>
              </w:rPr>
              <w:t xml:space="preserve"> on Dec. 17, </w:t>
            </w:r>
            <w:r w:rsidR="00F43DA8" w:rsidRPr="00520587">
              <w:rPr>
                <w:rFonts w:ascii="Garamond" w:hAnsi="Garamond"/>
                <w:color w:val="000000" w:themeColor="text1"/>
                <w:sz w:val="18"/>
                <w:szCs w:val="18"/>
              </w:rPr>
              <w:t>201</w:t>
            </w:r>
            <w:r w:rsidRPr="00520587">
              <w:rPr>
                <w:rFonts w:ascii="Garamond" w:hAnsi="Garamond"/>
                <w:color w:val="000000" w:themeColor="text1"/>
                <w:sz w:val="18"/>
                <w:szCs w:val="18"/>
              </w:rPr>
              <w:t>2</w:t>
            </w:r>
            <w:r w:rsidR="00D61EB2" w:rsidRPr="00520587">
              <w:rPr>
                <w:rFonts w:ascii="Garamond" w:hAnsi="Garamond"/>
                <w:color w:val="000000" w:themeColor="text1"/>
                <w:sz w:val="18"/>
                <w:szCs w:val="18"/>
              </w:rPr>
              <w:t xml:space="preserve">, </w:t>
            </w:r>
            <w:r w:rsidR="00F76B9C" w:rsidRPr="00520587">
              <w:rPr>
                <w:rFonts w:ascii="Garamond" w:hAnsi="Garamond"/>
                <w:color w:val="000000" w:themeColor="text1"/>
                <w:sz w:val="18"/>
                <w:szCs w:val="18"/>
              </w:rPr>
              <w:t xml:space="preserve">but started </w:t>
            </w:r>
            <w:r w:rsidR="00F43DA8" w:rsidRPr="00520587">
              <w:rPr>
                <w:rFonts w:ascii="Garamond" w:hAnsi="Garamond"/>
                <w:color w:val="000000" w:themeColor="text1"/>
                <w:sz w:val="18"/>
                <w:szCs w:val="18"/>
              </w:rPr>
              <w:t>its</w:t>
            </w:r>
            <w:r w:rsidR="00342D61">
              <w:rPr>
                <w:rFonts w:ascii="Garamond" w:hAnsi="Garamond"/>
                <w:color w:val="000000" w:themeColor="text1"/>
                <w:sz w:val="18"/>
                <w:szCs w:val="18"/>
              </w:rPr>
              <w:t xml:space="preserve"> </w:t>
            </w:r>
            <w:r w:rsidR="00F43DA8" w:rsidRPr="00520587">
              <w:rPr>
                <w:rFonts w:ascii="Garamond" w:hAnsi="Garamond"/>
                <w:color w:val="000000" w:themeColor="text1"/>
                <w:sz w:val="18"/>
                <w:szCs w:val="18"/>
              </w:rPr>
              <w:t>operation</w:t>
            </w:r>
            <w:r w:rsidR="00854DE1" w:rsidRPr="00520587">
              <w:rPr>
                <w:rFonts w:ascii="Garamond" w:hAnsi="Garamond"/>
                <w:color w:val="000000" w:themeColor="text1"/>
                <w:sz w:val="18"/>
                <w:szCs w:val="18"/>
              </w:rPr>
              <w:t xml:space="preserve"> </w:t>
            </w:r>
            <w:r w:rsidR="00F76B9C" w:rsidRPr="00520587">
              <w:rPr>
                <w:rFonts w:ascii="Garamond" w:hAnsi="Garamond"/>
                <w:color w:val="000000" w:themeColor="text1"/>
                <w:sz w:val="18"/>
                <w:szCs w:val="18"/>
              </w:rPr>
              <w:t>in April 2016.</w:t>
            </w:r>
          </w:p>
          <w:p w14:paraId="4F5E0AE6" w14:textId="65D4F81D" w:rsidR="00342D61" w:rsidRDefault="00342D61" w:rsidP="00110325">
            <w:pPr>
              <w:spacing w:line="276" w:lineRule="auto"/>
              <w:rPr>
                <w:rFonts w:ascii="Garamond" w:hAnsi="Garamond"/>
                <w:color w:val="000000" w:themeColor="text1"/>
                <w:sz w:val="18"/>
                <w:szCs w:val="18"/>
              </w:rPr>
            </w:pPr>
          </w:p>
          <w:p w14:paraId="499597BE" w14:textId="08D504DE" w:rsidR="00342D61" w:rsidRDefault="00342D61" w:rsidP="008139FD">
            <w:pPr>
              <w:spacing w:line="276" w:lineRule="auto"/>
              <w:rPr>
                <w:rFonts w:ascii="Garamond" w:hAnsi="Garamond"/>
                <w:color w:val="000000" w:themeColor="text1"/>
                <w:sz w:val="18"/>
                <w:szCs w:val="18"/>
              </w:rPr>
            </w:pPr>
            <w:r>
              <w:rPr>
                <w:rFonts w:ascii="Garamond" w:hAnsi="Garamond"/>
                <w:color w:val="000000" w:themeColor="text1"/>
                <w:sz w:val="18"/>
                <w:szCs w:val="18"/>
              </w:rPr>
              <w:t xml:space="preserve">The Commission is solely empowered by the ACT to inquire, investigate, and adjudicate complaints. And appeal against the Commission’s order lies the Government. In the absence of a separate tribunal or entity for investigation, the Commission has its own inquiry and wing. </w:t>
            </w:r>
          </w:p>
          <w:p w14:paraId="6F287B8F" w14:textId="77777777" w:rsidR="00342D61" w:rsidRPr="00342D61" w:rsidRDefault="00342D61" w:rsidP="008139FD">
            <w:pPr>
              <w:spacing w:line="276" w:lineRule="auto"/>
              <w:rPr>
                <w:rFonts w:ascii="Garamond" w:hAnsi="Garamond"/>
                <w:color w:val="000000" w:themeColor="text1"/>
                <w:sz w:val="18"/>
                <w:szCs w:val="18"/>
              </w:rPr>
            </w:pPr>
          </w:p>
          <w:p w14:paraId="25FB00FF" w14:textId="5ADF74ED" w:rsidR="00846CDF" w:rsidRPr="00520587" w:rsidRDefault="007C4481" w:rsidP="008139FD">
            <w:pPr>
              <w:spacing w:line="276" w:lineRule="auto"/>
              <w:rPr>
                <w:rFonts w:ascii="Garamond" w:hAnsi="Garamond"/>
                <w:color w:val="000000" w:themeColor="text1"/>
                <w:sz w:val="18"/>
                <w:szCs w:val="18"/>
              </w:rPr>
            </w:pPr>
            <w:hyperlink r:id="rId8" w:history="1">
              <w:r w:rsidR="00F860D5" w:rsidRPr="00520587">
                <w:rPr>
                  <w:rStyle w:val="Hyperlink"/>
                  <w:rFonts w:ascii="Garamond" w:hAnsi="Garamond"/>
                  <w:color w:val="000000" w:themeColor="text1"/>
                  <w:sz w:val="18"/>
                  <w:szCs w:val="18"/>
                </w:rPr>
                <w:t>www.ccb.gov.bd</w:t>
              </w:r>
            </w:hyperlink>
            <w:r w:rsidR="00F860D5" w:rsidRPr="00520587">
              <w:rPr>
                <w:rFonts w:ascii="Garamond" w:hAnsi="Garamond"/>
                <w:color w:val="000000" w:themeColor="text1"/>
                <w:sz w:val="18"/>
                <w:szCs w:val="18"/>
              </w:rPr>
              <w:t xml:space="preserve"> </w:t>
            </w:r>
          </w:p>
        </w:tc>
      </w:tr>
      <w:tr w:rsidR="00520587" w:rsidRPr="00520587" w14:paraId="0B0976F3" w14:textId="77777777" w:rsidTr="00241622">
        <w:tc>
          <w:tcPr>
            <w:tcW w:w="9350" w:type="dxa"/>
            <w:gridSpan w:val="3"/>
          </w:tcPr>
          <w:p w14:paraId="3444AFB7" w14:textId="79630D68" w:rsidR="003021BA" w:rsidRPr="00520587" w:rsidRDefault="003021BA" w:rsidP="00CA420F">
            <w:pPr>
              <w:jc w:val="center"/>
              <w:rPr>
                <w:rFonts w:ascii="Garamond" w:hAnsi="Garamond"/>
                <w:b/>
                <w:bCs/>
                <w:smallCaps/>
                <w:color w:val="000000" w:themeColor="text1"/>
                <w:sz w:val="22"/>
                <w:szCs w:val="22"/>
              </w:rPr>
            </w:pPr>
            <w:r w:rsidRPr="00520587">
              <w:rPr>
                <w:rFonts w:ascii="Garamond" w:hAnsi="Garamond"/>
                <w:b/>
                <w:bCs/>
                <w:smallCaps/>
                <w:color w:val="000000" w:themeColor="text1"/>
                <w:sz w:val="22"/>
                <w:szCs w:val="22"/>
              </w:rPr>
              <w:t>Policy-Making Agents</w:t>
            </w:r>
          </w:p>
          <w:p w14:paraId="023A20D0" w14:textId="59347719" w:rsidR="003021BA" w:rsidRPr="00520587" w:rsidRDefault="003021BA" w:rsidP="00CA420F">
            <w:pPr>
              <w:jc w:val="center"/>
              <w:rPr>
                <w:rFonts w:ascii="Garamond" w:hAnsi="Garamond"/>
                <w:color w:val="000000" w:themeColor="text1"/>
              </w:rPr>
            </w:pPr>
            <w:r w:rsidRPr="00520587">
              <w:rPr>
                <w:rFonts w:ascii="Garamond" w:hAnsi="Garamond"/>
                <w:b/>
                <w:bCs/>
                <w:smallCaps/>
                <w:color w:val="000000" w:themeColor="text1"/>
                <w:sz w:val="22"/>
                <w:szCs w:val="22"/>
              </w:rPr>
              <w:t>-Diversification-</w:t>
            </w:r>
          </w:p>
        </w:tc>
      </w:tr>
      <w:tr w:rsidR="00520587" w:rsidRPr="00520587" w14:paraId="451ACD36" w14:textId="77777777" w:rsidTr="008946AC">
        <w:trPr>
          <w:trHeight w:val="1889"/>
        </w:trPr>
        <w:tc>
          <w:tcPr>
            <w:tcW w:w="3775" w:type="dxa"/>
            <w:gridSpan w:val="2"/>
            <w:vMerge w:val="restart"/>
            <w:vAlign w:val="center"/>
          </w:tcPr>
          <w:p w14:paraId="05250247" w14:textId="40915FD6" w:rsidR="003665A2" w:rsidRPr="00520587" w:rsidRDefault="003665A2" w:rsidP="00E53CA3">
            <w:pPr>
              <w:jc w:val="center"/>
              <w:rPr>
                <w:rFonts w:ascii="Garamond" w:hAnsi="Garamond"/>
                <w:color w:val="000000" w:themeColor="text1"/>
                <w:sz w:val="18"/>
                <w:szCs w:val="18"/>
              </w:rPr>
            </w:pPr>
            <w:r w:rsidRPr="00520587">
              <w:rPr>
                <w:rFonts w:ascii="Garamond" w:hAnsi="Garamond"/>
                <w:color w:val="000000" w:themeColor="text1"/>
                <w:sz w:val="18"/>
                <w:szCs w:val="18"/>
              </w:rPr>
              <w:t>How many agencies are responsible for competition enforcement?</w:t>
            </w:r>
          </w:p>
        </w:tc>
        <w:tc>
          <w:tcPr>
            <w:tcW w:w="5575" w:type="dxa"/>
            <w:vAlign w:val="center"/>
          </w:tcPr>
          <w:p w14:paraId="77D51886" w14:textId="20FED432" w:rsidR="003665A2" w:rsidRPr="00520587" w:rsidRDefault="003665A2" w:rsidP="008946AC">
            <w:pPr>
              <w:pBdr>
                <w:top w:val="nil"/>
                <w:left w:val="nil"/>
                <w:bottom w:val="nil"/>
                <w:right w:val="nil"/>
                <w:between w:val="nil"/>
              </w:pBdr>
              <w:spacing w:before="119"/>
              <w:ind w:right="86"/>
              <w:rPr>
                <w:rFonts w:ascii="Garamond" w:hAnsi="Garamond"/>
                <w:i/>
                <w:color w:val="000000" w:themeColor="text1"/>
                <w:sz w:val="18"/>
                <w:szCs w:val="18"/>
              </w:rPr>
            </w:pPr>
            <w:r w:rsidRPr="00520587">
              <w:rPr>
                <w:rFonts w:ascii="Garamond" w:eastAsia="Garamond" w:hAnsi="Garamond"/>
                <w:i/>
                <w:color w:val="000000" w:themeColor="text1"/>
                <w:sz w:val="18"/>
                <w:szCs w:val="18"/>
              </w:rPr>
              <w:t xml:space="preserve">[Please mention how many authorities have a general mandate to enforce competition in your jurisdiction. Include a brief reference on their duties e.g.: if they impose criminal, </w:t>
            </w:r>
            <w:r w:rsidR="00353F79" w:rsidRPr="00520587">
              <w:rPr>
                <w:rFonts w:ascii="Garamond" w:eastAsia="Garamond" w:hAnsi="Garamond"/>
                <w:i/>
                <w:color w:val="000000" w:themeColor="text1"/>
                <w:sz w:val="18"/>
                <w:szCs w:val="18"/>
              </w:rPr>
              <w:t>civil,</w:t>
            </w:r>
            <w:r w:rsidRPr="00520587">
              <w:rPr>
                <w:rFonts w:ascii="Garamond" w:eastAsia="Garamond" w:hAnsi="Garamond"/>
                <w:i/>
                <w:color w:val="000000" w:themeColor="text1"/>
                <w:sz w:val="18"/>
                <w:szCs w:val="18"/>
              </w:rPr>
              <w:t xml:space="preserve"> or administrative liability. The purpose is that readers can quickly understand, which are the agencies charged with competition enforcement in the jurisdiction, the difference between them, and if they have concurrent, overlapping, or exclusionary authority. Include the relevant provisions on which their powers are based. Exclude in this point sector regulators or enforcers]</w:t>
            </w:r>
          </w:p>
        </w:tc>
      </w:tr>
      <w:tr w:rsidR="003665A2" w:rsidRPr="00520587" w14:paraId="2C109213" w14:textId="77777777" w:rsidTr="006724DB">
        <w:trPr>
          <w:trHeight w:val="1290"/>
        </w:trPr>
        <w:tc>
          <w:tcPr>
            <w:tcW w:w="3775" w:type="dxa"/>
            <w:gridSpan w:val="2"/>
            <w:vMerge/>
          </w:tcPr>
          <w:p w14:paraId="61C94341" w14:textId="77777777" w:rsidR="003665A2" w:rsidRPr="00520587" w:rsidRDefault="003665A2" w:rsidP="00CA420F">
            <w:pPr>
              <w:jc w:val="center"/>
              <w:rPr>
                <w:rFonts w:ascii="Garamond" w:hAnsi="Garamond"/>
                <w:color w:val="000000" w:themeColor="text1"/>
                <w:sz w:val="18"/>
                <w:szCs w:val="18"/>
              </w:rPr>
            </w:pPr>
          </w:p>
        </w:tc>
        <w:tc>
          <w:tcPr>
            <w:tcW w:w="5575" w:type="dxa"/>
          </w:tcPr>
          <w:p w14:paraId="5944F957" w14:textId="5925DD85" w:rsidR="00A05134" w:rsidRPr="00520587" w:rsidRDefault="00A13B7A" w:rsidP="00CA420F">
            <w:pPr>
              <w:rPr>
                <w:rFonts w:ascii="Garamond" w:hAnsi="Garamond"/>
                <w:color w:val="000000" w:themeColor="text1"/>
                <w:sz w:val="18"/>
                <w:szCs w:val="18"/>
              </w:rPr>
            </w:pPr>
            <w:r w:rsidRPr="00520587">
              <w:rPr>
                <w:rFonts w:ascii="Garamond" w:hAnsi="Garamond"/>
                <w:color w:val="000000" w:themeColor="text1"/>
                <w:sz w:val="18"/>
                <w:szCs w:val="18"/>
              </w:rPr>
              <w:t>The</w:t>
            </w:r>
            <w:r w:rsidR="00C20C73" w:rsidRPr="00520587">
              <w:rPr>
                <w:rFonts w:ascii="Garamond" w:hAnsi="Garamond"/>
                <w:color w:val="000000" w:themeColor="text1"/>
                <w:sz w:val="18"/>
                <w:szCs w:val="18"/>
              </w:rPr>
              <w:t xml:space="preserve"> authority to enforce the general mandates of competition </w:t>
            </w:r>
            <w:r w:rsidR="001F1D2C" w:rsidRPr="00520587">
              <w:rPr>
                <w:rFonts w:ascii="Garamond" w:hAnsi="Garamond"/>
                <w:color w:val="000000" w:themeColor="text1"/>
                <w:sz w:val="18"/>
                <w:szCs w:val="18"/>
              </w:rPr>
              <w:t>under the Competition Act</w:t>
            </w:r>
            <w:r w:rsidR="00F433C7" w:rsidRPr="00520587">
              <w:rPr>
                <w:rFonts w:ascii="Garamond" w:hAnsi="Garamond"/>
                <w:color w:val="000000" w:themeColor="text1"/>
                <w:sz w:val="18"/>
                <w:szCs w:val="18"/>
              </w:rPr>
              <w:t xml:space="preserve"> </w:t>
            </w:r>
            <w:r w:rsidR="00C20C73" w:rsidRPr="00520587">
              <w:rPr>
                <w:rFonts w:ascii="Garamond" w:hAnsi="Garamond"/>
                <w:color w:val="000000" w:themeColor="text1"/>
                <w:sz w:val="18"/>
                <w:szCs w:val="18"/>
              </w:rPr>
              <w:t xml:space="preserve">is </w:t>
            </w:r>
            <w:r w:rsidR="00910154" w:rsidRPr="00520587">
              <w:rPr>
                <w:rFonts w:ascii="Garamond" w:hAnsi="Garamond"/>
                <w:color w:val="000000" w:themeColor="text1"/>
                <w:sz w:val="18"/>
                <w:szCs w:val="18"/>
              </w:rPr>
              <w:t xml:space="preserve">vested </w:t>
            </w:r>
            <w:r w:rsidR="001C6535" w:rsidRPr="00520587">
              <w:rPr>
                <w:rFonts w:ascii="Garamond" w:hAnsi="Garamond"/>
                <w:color w:val="000000" w:themeColor="text1"/>
                <w:sz w:val="18"/>
                <w:szCs w:val="18"/>
              </w:rPr>
              <w:t xml:space="preserve">to </w:t>
            </w:r>
            <w:r w:rsidR="00C20C73" w:rsidRPr="00520587">
              <w:rPr>
                <w:rFonts w:ascii="Garamond" w:hAnsi="Garamond"/>
                <w:color w:val="000000" w:themeColor="text1"/>
                <w:sz w:val="18"/>
                <w:szCs w:val="18"/>
              </w:rPr>
              <w:t>the Bangladesh Competition Commission</w:t>
            </w:r>
            <w:r w:rsidR="00F433C7" w:rsidRPr="00520587">
              <w:rPr>
                <w:rFonts w:ascii="Garamond" w:hAnsi="Garamond"/>
                <w:color w:val="000000" w:themeColor="text1"/>
                <w:sz w:val="18"/>
                <w:szCs w:val="18"/>
              </w:rPr>
              <w:t xml:space="preserve">. </w:t>
            </w:r>
            <w:r w:rsidR="00C20C73" w:rsidRPr="00520587">
              <w:rPr>
                <w:rFonts w:ascii="Garamond" w:hAnsi="Garamond"/>
                <w:color w:val="000000" w:themeColor="text1"/>
                <w:sz w:val="18"/>
                <w:szCs w:val="18"/>
              </w:rPr>
              <w:t xml:space="preserve"> </w:t>
            </w:r>
          </w:p>
          <w:p w14:paraId="52D93BCB" w14:textId="77777777" w:rsidR="000D498A" w:rsidRPr="00520587" w:rsidRDefault="000D498A" w:rsidP="00CA420F">
            <w:pPr>
              <w:rPr>
                <w:rFonts w:ascii="Garamond" w:hAnsi="Garamond"/>
                <w:color w:val="000000" w:themeColor="text1"/>
                <w:sz w:val="18"/>
                <w:szCs w:val="18"/>
              </w:rPr>
            </w:pPr>
          </w:p>
          <w:p w14:paraId="6408B5BA" w14:textId="272BE034" w:rsidR="00A05134" w:rsidRPr="00520587" w:rsidRDefault="00A05134" w:rsidP="00CA420F">
            <w:pPr>
              <w:rPr>
                <w:rFonts w:ascii="Garamond" w:hAnsi="Garamond"/>
                <w:b/>
                <w:bCs/>
                <w:color w:val="000000" w:themeColor="text1"/>
                <w:sz w:val="18"/>
                <w:szCs w:val="18"/>
              </w:rPr>
            </w:pPr>
            <w:r w:rsidRPr="00520587">
              <w:rPr>
                <w:rFonts w:ascii="Garamond" w:hAnsi="Garamond"/>
                <w:b/>
                <w:bCs/>
                <w:color w:val="000000" w:themeColor="text1"/>
                <w:sz w:val="18"/>
                <w:szCs w:val="18"/>
              </w:rPr>
              <w:t>Bangladesh Competition Commission (BCC)</w:t>
            </w:r>
          </w:p>
          <w:p w14:paraId="294FC00D" w14:textId="5DAFA891" w:rsidR="001C6535" w:rsidRPr="00520587" w:rsidRDefault="00A558C3" w:rsidP="007C4481">
            <w:pPr>
              <w:pStyle w:val="ListParagraph"/>
              <w:numPr>
                <w:ilvl w:val="0"/>
                <w:numId w:val="5"/>
              </w:numPr>
              <w:rPr>
                <w:rFonts w:ascii="Garamond" w:hAnsi="Garamond"/>
                <w:b/>
                <w:bCs/>
                <w:color w:val="000000" w:themeColor="text1"/>
                <w:sz w:val="18"/>
                <w:szCs w:val="18"/>
              </w:rPr>
            </w:pPr>
            <w:r w:rsidRPr="00520587">
              <w:rPr>
                <w:rFonts w:ascii="Garamond" w:hAnsi="Garamond"/>
                <w:color w:val="000000" w:themeColor="text1"/>
                <w:sz w:val="18"/>
                <w:szCs w:val="18"/>
              </w:rPr>
              <w:t>Bangladesh Competition Commission</w:t>
            </w:r>
            <w:r w:rsidR="001B56D0" w:rsidRPr="00520587">
              <w:rPr>
                <w:rFonts w:ascii="Garamond" w:hAnsi="Garamond"/>
                <w:color w:val="000000" w:themeColor="text1"/>
                <w:sz w:val="18"/>
                <w:szCs w:val="18"/>
              </w:rPr>
              <w:t xml:space="preserve">, </w:t>
            </w:r>
            <w:r w:rsidRPr="00520587">
              <w:rPr>
                <w:rFonts w:ascii="Garamond" w:hAnsi="Garamond"/>
                <w:color w:val="000000" w:themeColor="text1"/>
                <w:sz w:val="18"/>
                <w:szCs w:val="18"/>
              </w:rPr>
              <w:t>a</w:t>
            </w:r>
            <w:r w:rsidR="008B7477" w:rsidRPr="00520587">
              <w:rPr>
                <w:rFonts w:ascii="Garamond" w:hAnsi="Garamond"/>
                <w:color w:val="000000" w:themeColor="text1"/>
                <w:sz w:val="18"/>
                <w:szCs w:val="18"/>
              </w:rPr>
              <w:t>n autonomous</w:t>
            </w:r>
            <w:r w:rsidRPr="00520587">
              <w:rPr>
                <w:rFonts w:ascii="Garamond" w:hAnsi="Garamond"/>
                <w:color w:val="000000" w:themeColor="text1"/>
                <w:sz w:val="18"/>
                <w:szCs w:val="18"/>
              </w:rPr>
              <w:t xml:space="preserve"> statutory organization</w:t>
            </w:r>
            <w:r w:rsidR="00E1794C" w:rsidRPr="00520587">
              <w:rPr>
                <w:rFonts w:ascii="Garamond" w:hAnsi="Garamond"/>
                <w:color w:val="000000" w:themeColor="text1"/>
                <w:sz w:val="18"/>
                <w:szCs w:val="18"/>
              </w:rPr>
              <w:t xml:space="preserve"> empowered with judicial adjudication</w:t>
            </w:r>
            <w:r w:rsidR="001B56D0" w:rsidRPr="00520587">
              <w:rPr>
                <w:rFonts w:ascii="Garamond" w:hAnsi="Garamond"/>
                <w:color w:val="000000" w:themeColor="text1"/>
                <w:sz w:val="18"/>
                <w:szCs w:val="18"/>
              </w:rPr>
              <w:t xml:space="preserve">, </w:t>
            </w:r>
            <w:r w:rsidR="002A3D80" w:rsidRPr="00520587">
              <w:rPr>
                <w:rFonts w:ascii="Garamond" w:hAnsi="Garamond"/>
                <w:color w:val="000000" w:themeColor="text1"/>
                <w:sz w:val="18"/>
                <w:szCs w:val="18"/>
              </w:rPr>
              <w:t xml:space="preserve">was </w:t>
            </w:r>
            <w:r w:rsidR="002B21D7" w:rsidRPr="00520587">
              <w:rPr>
                <w:rFonts w:ascii="Garamond" w:hAnsi="Garamond"/>
                <w:color w:val="000000" w:themeColor="text1"/>
                <w:sz w:val="18"/>
                <w:szCs w:val="18"/>
              </w:rPr>
              <w:t xml:space="preserve">established </w:t>
            </w:r>
            <w:r w:rsidR="003E6349" w:rsidRPr="00520587">
              <w:rPr>
                <w:rFonts w:ascii="Garamond" w:hAnsi="Garamond"/>
                <w:color w:val="000000" w:themeColor="text1"/>
                <w:sz w:val="18"/>
                <w:szCs w:val="18"/>
              </w:rPr>
              <w:t>u</w:t>
            </w:r>
            <w:r w:rsidR="00DA4E25" w:rsidRPr="00520587">
              <w:rPr>
                <w:rFonts w:ascii="Garamond" w:hAnsi="Garamond"/>
                <w:color w:val="000000" w:themeColor="text1"/>
                <w:sz w:val="18"/>
                <w:szCs w:val="18"/>
              </w:rPr>
              <w:t xml:space="preserve">nder section 5 of the Competition Act in order </w:t>
            </w:r>
            <w:r w:rsidR="002A3D80" w:rsidRPr="00520587">
              <w:rPr>
                <w:rFonts w:ascii="Garamond" w:hAnsi="Garamond"/>
                <w:color w:val="000000" w:themeColor="text1"/>
                <w:sz w:val="18"/>
                <w:szCs w:val="18"/>
              </w:rPr>
              <w:t xml:space="preserve">to </w:t>
            </w:r>
            <w:r w:rsidR="00613D5A" w:rsidRPr="00520587">
              <w:rPr>
                <w:rFonts w:ascii="Garamond" w:hAnsi="Garamond"/>
                <w:color w:val="000000" w:themeColor="text1"/>
                <w:sz w:val="18"/>
                <w:szCs w:val="18"/>
              </w:rPr>
              <w:t>promote, ensure and sustain congenial atmosphere for the competition in trade, and to prevent, control and eradicate collusion, monopoly and oligopoly, combination or abuse of dominant position or activities adverse to the competition.</w:t>
            </w:r>
            <w:r w:rsidR="00DE567D" w:rsidRPr="00520587">
              <w:rPr>
                <w:rFonts w:ascii="Garamond" w:hAnsi="Garamond"/>
                <w:color w:val="000000" w:themeColor="text1"/>
                <w:sz w:val="18"/>
                <w:szCs w:val="18"/>
              </w:rPr>
              <w:t xml:space="preserve"> </w:t>
            </w:r>
            <w:r w:rsidR="00DE567D" w:rsidRPr="00520587">
              <w:rPr>
                <w:rFonts w:ascii="Garamond" w:hAnsi="Garamond"/>
                <w:i/>
                <w:iCs/>
                <w:color w:val="000000" w:themeColor="text1"/>
                <w:sz w:val="18"/>
                <w:szCs w:val="18"/>
              </w:rPr>
              <w:t>See</w:t>
            </w:r>
            <w:r w:rsidR="00DE567D" w:rsidRPr="00520587">
              <w:rPr>
                <w:rFonts w:ascii="Garamond" w:hAnsi="Garamond"/>
                <w:color w:val="000000" w:themeColor="text1"/>
                <w:sz w:val="18"/>
                <w:szCs w:val="18"/>
              </w:rPr>
              <w:t xml:space="preserve"> Preamble. </w:t>
            </w:r>
            <w:r w:rsidR="003805DF" w:rsidRPr="00520587">
              <w:rPr>
                <w:rFonts w:ascii="Garamond" w:hAnsi="Garamond"/>
                <w:color w:val="000000" w:themeColor="text1"/>
              </w:rPr>
              <w:t xml:space="preserve"> </w:t>
            </w:r>
            <w:r w:rsidR="003805DF" w:rsidRPr="00520587">
              <w:rPr>
                <w:rFonts w:ascii="Garamond" w:hAnsi="Garamond"/>
                <w:color w:val="000000" w:themeColor="text1"/>
                <w:sz w:val="18"/>
                <w:szCs w:val="18"/>
              </w:rPr>
              <w:t xml:space="preserve"> </w:t>
            </w:r>
          </w:p>
          <w:p w14:paraId="01260EC0" w14:textId="4B3716D8" w:rsidR="003665A2" w:rsidRPr="00520587" w:rsidRDefault="008E6128" w:rsidP="007C4481">
            <w:pPr>
              <w:pStyle w:val="ListParagraph"/>
              <w:numPr>
                <w:ilvl w:val="0"/>
                <w:numId w:val="5"/>
              </w:numPr>
              <w:rPr>
                <w:rFonts w:ascii="Garamond" w:hAnsi="Garamond"/>
                <w:b/>
                <w:bCs/>
                <w:color w:val="000000" w:themeColor="text1"/>
                <w:sz w:val="18"/>
                <w:szCs w:val="18"/>
              </w:rPr>
            </w:pPr>
            <w:r w:rsidRPr="00520587">
              <w:rPr>
                <w:rFonts w:ascii="Garamond" w:hAnsi="Garamond"/>
                <w:color w:val="000000" w:themeColor="text1"/>
                <w:sz w:val="18"/>
                <w:szCs w:val="18"/>
              </w:rPr>
              <w:t xml:space="preserve">It is empowered to </w:t>
            </w:r>
            <w:r w:rsidR="00462A0B" w:rsidRPr="00520587">
              <w:rPr>
                <w:rFonts w:ascii="Garamond" w:hAnsi="Garamond"/>
                <w:color w:val="000000" w:themeColor="text1"/>
                <w:sz w:val="18"/>
                <w:szCs w:val="18"/>
              </w:rPr>
              <w:t xml:space="preserve">conduct inquiry, </w:t>
            </w:r>
            <w:r w:rsidR="00E66EE5" w:rsidRPr="00520587">
              <w:rPr>
                <w:rFonts w:ascii="Garamond" w:hAnsi="Garamond"/>
                <w:color w:val="000000" w:themeColor="text1"/>
                <w:sz w:val="18"/>
                <w:szCs w:val="18"/>
              </w:rPr>
              <w:t>investigation,</w:t>
            </w:r>
            <w:r w:rsidR="00462A0B" w:rsidRPr="00520587">
              <w:rPr>
                <w:rFonts w:ascii="Garamond" w:hAnsi="Garamond"/>
                <w:color w:val="000000" w:themeColor="text1"/>
                <w:sz w:val="18"/>
                <w:szCs w:val="18"/>
              </w:rPr>
              <w:t xml:space="preserve"> and adjudication of a complaint.</w:t>
            </w:r>
            <w:r w:rsidR="00F7184F" w:rsidRPr="00520587">
              <w:rPr>
                <w:rFonts w:ascii="Garamond" w:hAnsi="Garamond"/>
                <w:color w:val="000000" w:themeColor="text1"/>
                <w:sz w:val="18"/>
                <w:szCs w:val="18"/>
              </w:rPr>
              <w:t xml:space="preserve"> </w:t>
            </w:r>
            <w:r w:rsidR="00FF47DF" w:rsidRPr="00520587">
              <w:rPr>
                <w:rFonts w:ascii="Garamond" w:hAnsi="Garamond"/>
                <w:i/>
                <w:iCs/>
                <w:color w:val="000000" w:themeColor="text1"/>
                <w:sz w:val="18"/>
                <w:szCs w:val="18"/>
              </w:rPr>
              <w:t>See</w:t>
            </w:r>
            <w:r w:rsidR="00FF47DF" w:rsidRPr="00520587">
              <w:rPr>
                <w:rFonts w:ascii="Garamond" w:hAnsi="Garamond"/>
                <w:color w:val="000000" w:themeColor="text1"/>
                <w:sz w:val="18"/>
                <w:szCs w:val="18"/>
              </w:rPr>
              <w:t xml:space="preserve"> </w:t>
            </w:r>
            <w:r w:rsidR="00F7184F" w:rsidRPr="00520587">
              <w:rPr>
                <w:rStyle w:val="hgkelc"/>
                <w:rFonts w:ascii="Garamond" w:hAnsi="Garamond"/>
                <w:color w:val="000000" w:themeColor="text1"/>
                <w:sz w:val="18"/>
                <w:szCs w:val="18"/>
                <w:lang w:val="en"/>
              </w:rPr>
              <w:t>§</w:t>
            </w:r>
            <w:r w:rsidR="001B29B3" w:rsidRPr="00520587">
              <w:rPr>
                <w:rStyle w:val="hgkelc"/>
                <w:rFonts w:ascii="Garamond" w:hAnsi="Garamond"/>
                <w:color w:val="000000" w:themeColor="text1"/>
                <w:sz w:val="18"/>
                <w:szCs w:val="18"/>
                <w:lang w:val="en"/>
              </w:rPr>
              <w:t>§</w:t>
            </w:r>
            <w:r w:rsidR="00FF47DF" w:rsidRPr="00520587">
              <w:rPr>
                <w:rStyle w:val="hgkelc"/>
                <w:rFonts w:ascii="Garamond" w:hAnsi="Garamond"/>
                <w:color w:val="000000" w:themeColor="text1"/>
                <w:sz w:val="18"/>
                <w:szCs w:val="18"/>
                <w:lang w:val="en"/>
              </w:rPr>
              <w:t>17-20.</w:t>
            </w:r>
            <w:r w:rsidR="009C5772" w:rsidRPr="00520587">
              <w:rPr>
                <w:rStyle w:val="hgkelc"/>
                <w:rFonts w:ascii="Garamond" w:hAnsi="Garamond"/>
                <w:color w:val="000000" w:themeColor="text1"/>
                <w:sz w:val="18"/>
                <w:szCs w:val="18"/>
                <w:lang w:val="en"/>
              </w:rPr>
              <w:t xml:space="preserve"> It can also issue orders </w:t>
            </w:r>
            <w:r w:rsidR="00EB6824" w:rsidRPr="00520587">
              <w:rPr>
                <w:rStyle w:val="hgkelc"/>
                <w:rFonts w:ascii="Garamond" w:hAnsi="Garamond"/>
                <w:color w:val="000000" w:themeColor="text1"/>
                <w:sz w:val="18"/>
                <w:szCs w:val="18"/>
                <w:lang w:val="en"/>
              </w:rPr>
              <w:t xml:space="preserve">to direct a person or entity to </w:t>
            </w:r>
            <w:r w:rsidR="00AB0C0D" w:rsidRPr="00520587">
              <w:rPr>
                <w:rStyle w:val="hgkelc"/>
                <w:rFonts w:ascii="Garamond" w:hAnsi="Garamond"/>
                <w:color w:val="000000" w:themeColor="text1"/>
                <w:sz w:val="18"/>
                <w:szCs w:val="18"/>
                <w:lang w:val="en"/>
              </w:rPr>
              <w:t>refrain from anti-competitive practices (i.e., agr</w:t>
            </w:r>
            <w:r w:rsidR="002F6409" w:rsidRPr="00520587">
              <w:rPr>
                <w:rStyle w:val="hgkelc"/>
                <w:rFonts w:ascii="Garamond" w:hAnsi="Garamond"/>
                <w:color w:val="000000" w:themeColor="text1"/>
                <w:sz w:val="18"/>
                <w:szCs w:val="18"/>
                <w:lang w:val="en"/>
              </w:rPr>
              <w:t>eements, abusing dominant position or preventing merger). See §§20-21.</w:t>
            </w:r>
            <w:r w:rsidR="00C9721F" w:rsidRPr="00520587">
              <w:rPr>
                <w:rStyle w:val="hgkelc"/>
                <w:rFonts w:ascii="Garamond" w:hAnsi="Garamond"/>
                <w:color w:val="000000" w:themeColor="text1"/>
                <w:sz w:val="18"/>
                <w:szCs w:val="18"/>
                <w:lang w:val="en"/>
              </w:rPr>
              <w:t xml:space="preserve"> Moreover, it can impose </w:t>
            </w:r>
            <w:r w:rsidR="00AB7E57" w:rsidRPr="00520587">
              <w:rPr>
                <w:rStyle w:val="hgkelc"/>
                <w:rFonts w:ascii="Garamond" w:hAnsi="Garamond"/>
                <w:color w:val="000000" w:themeColor="text1"/>
                <w:sz w:val="18"/>
                <w:szCs w:val="18"/>
                <w:lang w:val="en"/>
              </w:rPr>
              <w:t xml:space="preserve"> administrative financial </w:t>
            </w:r>
            <w:r w:rsidR="00352EB1" w:rsidRPr="00520587">
              <w:rPr>
                <w:rStyle w:val="hgkelc"/>
                <w:rFonts w:ascii="Garamond" w:hAnsi="Garamond"/>
                <w:color w:val="000000" w:themeColor="text1"/>
                <w:sz w:val="18"/>
                <w:szCs w:val="18"/>
                <w:lang w:val="en"/>
              </w:rPr>
              <w:t>penalties</w:t>
            </w:r>
            <w:r w:rsidR="00AB7E57" w:rsidRPr="00520587">
              <w:rPr>
                <w:rStyle w:val="hgkelc"/>
                <w:rFonts w:ascii="Garamond" w:hAnsi="Garamond"/>
                <w:color w:val="000000" w:themeColor="text1"/>
                <w:sz w:val="18"/>
                <w:szCs w:val="18"/>
                <w:lang w:val="en"/>
              </w:rPr>
              <w:t xml:space="preserve"> </w:t>
            </w:r>
            <w:r w:rsidR="003B606C" w:rsidRPr="00520587">
              <w:rPr>
                <w:rStyle w:val="hgkelc"/>
                <w:rFonts w:ascii="Garamond" w:hAnsi="Garamond"/>
                <w:color w:val="000000" w:themeColor="text1"/>
                <w:sz w:val="18"/>
                <w:szCs w:val="18"/>
                <w:lang w:val="en"/>
              </w:rPr>
              <w:t xml:space="preserve">for involvement with </w:t>
            </w:r>
            <w:r w:rsidR="00352EB1" w:rsidRPr="00520587">
              <w:rPr>
                <w:rStyle w:val="hgkelc"/>
                <w:rFonts w:ascii="Garamond" w:hAnsi="Garamond"/>
                <w:color w:val="000000" w:themeColor="text1"/>
                <w:sz w:val="18"/>
                <w:szCs w:val="18"/>
                <w:lang w:val="en"/>
              </w:rPr>
              <w:t xml:space="preserve">anti-competitive </w:t>
            </w:r>
            <w:r w:rsidR="00AF619A" w:rsidRPr="00520587">
              <w:rPr>
                <w:rStyle w:val="hgkelc"/>
                <w:rFonts w:ascii="Garamond" w:hAnsi="Garamond"/>
                <w:color w:val="000000" w:themeColor="text1"/>
                <w:sz w:val="18"/>
                <w:szCs w:val="18"/>
                <w:lang w:val="en"/>
              </w:rPr>
              <w:t>agreements</w:t>
            </w:r>
            <w:r w:rsidR="00352EB1" w:rsidRPr="00520587">
              <w:rPr>
                <w:rStyle w:val="hgkelc"/>
                <w:rFonts w:ascii="Garamond" w:hAnsi="Garamond"/>
                <w:color w:val="000000" w:themeColor="text1"/>
                <w:sz w:val="18"/>
                <w:szCs w:val="18"/>
                <w:lang w:val="en"/>
              </w:rPr>
              <w:t xml:space="preserve"> or abuse of dominant position. See §20.  </w:t>
            </w:r>
            <w:r w:rsidR="00C9721F" w:rsidRPr="00520587">
              <w:rPr>
                <w:rStyle w:val="hgkelc"/>
                <w:rFonts w:ascii="Garamond" w:hAnsi="Garamond"/>
                <w:color w:val="000000" w:themeColor="text1"/>
                <w:sz w:val="18"/>
                <w:szCs w:val="18"/>
                <w:lang w:val="en"/>
              </w:rPr>
              <w:t xml:space="preserve">fine for </w:t>
            </w:r>
          </w:p>
        </w:tc>
      </w:tr>
    </w:tbl>
    <w:p w14:paraId="41B5722C" w14:textId="77777777" w:rsidR="00D05230" w:rsidRPr="00520587" w:rsidRDefault="00D05230">
      <w:pPr>
        <w:rPr>
          <w:rFonts w:ascii="Garamond" w:hAnsi="Garamond"/>
          <w:color w:val="000000" w:themeColor="text1"/>
        </w:rPr>
      </w:pPr>
    </w:p>
    <w:tbl>
      <w:tblPr>
        <w:tblStyle w:val="TableGrid"/>
        <w:tblW w:w="0" w:type="auto"/>
        <w:tblLook w:val="04A0" w:firstRow="1" w:lastRow="0" w:firstColumn="1" w:lastColumn="0" w:noHBand="0" w:noVBand="1"/>
      </w:tblPr>
      <w:tblGrid>
        <w:gridCol w:w="3775"/>
        <w:gridCol w:w="5575"/>
      </w:tblGrid>
      <w:tr w:rsidR="00520587" w:rsidRPr="00520587" w14:paraId="22407824" w14:textId="77777777" w:rsidTr="007B5891">
        <w:trPr>
          <w:trHeight w:val="710"/>
        </w:trPr>
        <w:tc>
          <w:tcPr>
            <w:tcW w:w="3775" w:type="dxa"/>
            <w:vMerge w:val="restart"/>
            <w:vAlign w:val="center"/>
          </w:tcPr>
          <w:p w14:paraId="303F5F38" w14:textId="7F1120A4" w:rsidR="00417F55" w:rsidRPr="00520587" w:rsidRDefault="00417F55" w:rsidP="007B5891">
            <w:pPr>
              <w:jc w:val="center"/>
              <w:rPr>
                <w:rFonts w:ascii="Garamond" w:hAnsi="Garamond"/>
                <w:color w:val="000000" w:themeColor="text1"/>
                <w:sz w:val="18"/>
                <w:szCs w:val="18"/>
              </w:rPr>
            </w:pPr>
            <w:r w:rsidRPr="00520587">
              <w:rPr>
                <w:rFonts w:ascii="Garamond" w:hAnsi="Garamond"/>
                <w:color w:val="000000" w:themeColor="text1"/>
                <w:sz w:val="18"/>
                <w:szCs w:val="18"/>
              </w:rPr>
              <w:lastRenderedPageBreak/>
              <w:t>Do sector regulators have a competition policy enforcement mandate?</w:t>
            </w:r>
          </w:p>
        </w:tc>
        <w:tc>
          <w:tcPr>
            <w:tcW w:w="5575" w:type="dxa"/>
          </w:tcPr>
          <w:p w14:paraId="0A34AF94" w14:textId="606B6C83" w:rsidR="00417F55" w:rsidRPr="00520587" w:rsidRDefault="00D05230" w:rsidP="00D05230">
            <w:pPr>
              <w:rPr>
                <w:rFonts w:ascii="Garamond" w:hAnsi="Garamond"/>
                <w:i/>
                <w:color w:val="000000" w:themeColor="text1"/>
                <w:sz w:val="18"/>
                <w:szCs w:val="18"/>
                <w:highlight w:val="darkGray"/>
              </w:rPr>
            </w:pPr>
            <w:r w:rsidRPr="00520587">
              <w:rPr>
                <w:rFonts w:ascii="Garamond" w:eastAsia="Garamond" w:hAnsi="Garamond"/>
                <w:i/>
                <w:color w:val="000000" w:themeColor="text1"/>
                <w:sz w:val="18"/>
                <w:szCs w:val="18"/>
              </w:rPr>
              <w:t>[Please introduce the name agencies that have powers to enforce any aspect of competition law, including merger control, in specific sectors. Introduce the relevant provisions on which their powers are based]</w:t>
            </w:r>
          </w:p>
        </w:tc>
      </w:tr>
      <w:tr w:rsidR="00520587" w:rsidRPr="00520587" w14:paraId="67D74D37" w14:textId="77777777" w:rsidTr="00F5244D">
        <w:trPr>
          <w:trHeight w:val="8720"/>
        </w:trPr>
        <w:tc>
          <w:tcPr>
            <w:tcW w:w="3775" w:type="dxa"/>
            <w:vMerge/>
          </w:tcPr>
          <w:p w14:paraId="353866B4" w14:textId="77777777" w:rsidR="00417F55" w:rsidRPr="00520587" w:rsidRDefault="00417F55" w:rsidP="00CA420F">
            <w:pPr>
              <w:jc w:val="center"/>
              <w:rPr>
                <w:rFonts w:ascii="Garamond" w:hAnsi="Garamond"/>
                <w:color w:val="000000" w:themeColor="text1"/>
                <w:sz w:val="18"/>
                <w:szCs w:val="18"/>
              </w:rPr>
            </w:pPr>
          </w:p>
        </w:tc>
        <w:tc>
          <w:tcPr>
            <w:tcW w:w="5575" w:type="dxa"/>
          </w:tcPr>
          <w:p w14:paraId="00543306" w14:textId="0CCA7A61" w:rsidR="00417F55" w:rsidRPr="00520587" w:rsidRDefault="00B15AB9" w:rsidP="00B15AB9">
            <w:pPr>
              <w:rPr>
                <w:rFonts w:ascii="Garamond" w:hAnsi="Garamond"/>
                <w:color w:val="000000" w:themeColor="text1"/>
                <w:sz w:val="18"/>
                <w:szCs w:val="18"/>
              </w:rPr>
            </w:pPr>
            <w:r w:rsidRPr="00520587">
              <w:rPr>
                <w:rFonts w:ascii="Garamond" w:hAnsi="Garamond"/>
                <w:color w:val="000000" w:themeColor="text1"/>
                <w:sz w:val="18"/>
                <w:szCs w:val="18"/>
              </w:rPr>
              <w:t>Yes,</w:t>
            </w:r>
            <w:r w:rsidR="004E2AD9" w:rsidRPr="00520587">
              <w:rPr>
                <w:rFonts w:ascii="Garamond" w:hAnsi="Garamond"/>
                <w:color w:val="000000" w:themeColor="text1"/>
                <w:sz w:val="18"/>
                <w:szCs w:val="18"/>
              </w:rPr>
              <w:t xml:space="preserve"> </w:t>
            </w:r>
            <w:r w:rsidR="003D396E" w:rsidRPr="00520587">
              <w:rPr>
                <w:rFonts w:ascii="Garamond" w:hAnsi="Garamond"/>
                <w:color w:val="000000" w:themeColor="text1"/>
                <w:sz w:val="18"/>
                <w:szCs w:val="18"/>
              </w:rPr>
              <w:t xml:space="preserve">following </w:t>
            </w:r>
            <w:r w:rsidR="004E2AD9" w:rsidRPr="00520587">
              <w:rPr>
                <w:rFonts w:ascii="Garamond" w:hAnsi="Garamond"/>
                <w:color w:val="000000" w:themeColor="text1"/>
                <w:sz w:val="18"/>
                <w:szCs w:val="18"/>
              </w:rPr>
              <w:t>sector</w:t>
            </w:r>
            <w:r w:rsidR="00A15DD6" w:rsidRPr="00520587">
              <w:rPr>
                <w:rFonts w:ascii="Garamond" w:hAnsi="Garamond"/>
                <w:color w:val="000000" w:themeColor="text1"/>
                <w:sz w:val="18"/>
                <w:szCs w:val="18"/>
              </w:rPr>
              <w:t xml:space="preserve">al regulators are also </w:t>
            </w:r>
            <w:r w:rsidR="001D75A1" w:rsidRPr="00520587">
              <w:rPr>
                <w:rFonts w:ascii="Garamond" w:hAnsi="Garamond"/>
                <w:color w:val="000000" w:themeColor="text1"/>
                <w:sz w:val="18"/>
                <w:szCs w:val="18"/>
              </w:rPr>
              <w:t>mandated by their laws to deal</w:t>
            </w:r>
            <w:r w:rsidR="00B652B4" w:rsidRPr="00520587">
              <w:rPr>
                <w:rFonts w:ascii="Garamond" w:hAnsi="Garamond"/>
                <w:color w:val="000000" w:themeColor="text1"/>
                <w:sz w:val="18"/>
                <w:szCs w:val="18"/>
              </w:rPr>
              <w:t xml:space="preserve"> with competition issues:</w:t>
            </w:r>
          </w:p>
          <w:p w14:paraId="775EAD98" w14:textId="77777777" w:rsidR="00B652B4" w:rsidRPr="00520587" w:rsidRDefault="00192587" w:rsidP="007C4481">
            <w:pPr>
              <w:pStyle w:val="ListParagraph"/>
              <w:numPr>
                <w:ilvl w:val="0"/>
                <w:numId w:val="6"/>
              </w:numPr>
              <w:rPr>
                <w:rFonts w:ascii="Garamond" w:hAnsi="Garamond"/>
                <w:b/>
                <w:bCs/>
                <w:color w:val="000000" w:themeColor="text1"/>
                <w:sz w:val="18"/>
                <w:szCs w:val="18"/>
              </w:rPr>
            </w:pPr>
            <w:r w:rsidRPr="00520587">
              <w:rPr>
                <w:rFonts w:ascii="Garamond" w:hAnsi="Garamond"/>
                <w:b/>
                <w:bCs/>
                <w:color w:val="000000" w:themeColor="text1"/>
                <w:sz w:val="18"/>
                <w:szCs w:val="18"/>
              </w:rPr>
              <w:t>Telecommunication Sectors</w:t>
            </w:r>
            <w:r w:rsidR="001B592A" w:rsidRPr="00520587">
              <w:rPr>
                <w:rFonts w:ascii="Garamond" w:hAnsi="Garamond"/>
                <w:b/>
                <w:bCs/>
                <w:color w:val="000000" w:themeColor="text1"/>
                <w:sz w:val="18"/>
                <w:szCs w:val="18"/>
              </w:rPr>
              <w:t>:</w:t>
            </w:r>
          </w:p>
          <w:p w14:paraId="6D0CC7F4" w14:textId="1191673B" w:rsidR="001B592A" w:rsidRPr="00520587" w:rsidRDefault="00963FBA" w:rsidP="007C4481">
            <w:pPr>
              <w:pStyle w:val="ListParagraph"/>
              <w:numPr>
                <w:ilvl w:val="0"/>
                <w:numId w:val="7"/>
              </w:numPr>
              <w:rPr>
                <w:rFonts w:ascii="Garamond" w:hAnsi="Garamond"/>
                <w:color w:val="000000" w:themeColor="text1"/>
                <w:sz w:val="18"/>
                <w:szCs w:val="18"/>
              </w:rPr>
            </w:pPr>
            <w:r w:rsidRPr="00520587">
              <w:rPr>
                <w:rFonts w:ascii="Garamond" w:hAnsi="Garamond"/>
                <w:b/>
                <w:bCs/>
                <w:color w:val="000000" w:themeColor="text1"/>
                <w:sz w:val="18"/>
                <w:szCs w:val="18"/>
              </w:rPr>
              <w:t xml:space="preserve">The Bangladesh Telecommunication </w:t>
            </w:r>
            <w:r w:rsidR="00A830E7" w:rsidRPr="00520587">
              <w:rPr>
                <w:rFonts w:ascii="Garamond" w:hAnsi="Garamond"/>
                <w:b/>
                <w:bCs/>
                <w:color w:val="000000" w:themeColor="text1"/>
                <w:sz w:val="18"/>
                <w:szCs w:val="18"/>
              </w:rPr>
              <w:t>Regulatory</w:t>
            </w:r>
            <w:r w:rsidRPr="00520587">
              <w:rPr>
                <w:rFonts w:ascii="Garamond" w:hAnsi="Garamond"/>
                <w:b/>
                <w:bCs/>
                <w:color w:val="000000" w:themeColor="text1"/>
                <w:sz w:val="18"/>
                <w:szCs w:val="18"/>
              </w:rPr>
              <w:t xml:space="preserve"> Act, 2001</w:t>
            </w:r>
            <w:r w:rsidRPr="00520587">
              <w:rPr>
                <w:rFonts w:ascii="Garamond" w:hAnsi="Garamond"/>
                <w:color w:val="000000" w:themeColor="text1"/>
                <w:sz w:val="18"/>
                <w:szCs w:val="18"/>
              </w:rPr>
              <w:t xml:space="preserve"> (</w:t>
            </w:r>
            <w:r w:rsidR="00737CC1" w:rsidRPr="00520587">
              <w:rPr>
                <w:rFonts w:ascii="Garamond" w:hAnsi="Garamond"/>
                <w:color w:val="000000" w:themeColor="text1"/>
                <w:sz w:val="18"/>
                <w:szCs w:val="18"/>
              </w:rPr>
              <w:t>Act No. XVIII of 2001) is the principal law that regulates the telecommunication sector of the country.</w:t>
            </w:r>
            <w:r w:rsidR="004E1624" w:rsidRPr="00520587">
              <w:rPr>
                <w:rFonts w:ascii="Garamond" w:hAnsi="Garamond"/>
                <w:color w:val="000000" w:themeColor="text1"/>
                <w:sz w:val="18"/>
                <w:szCs w:val="18"/>
              </w:rPr>
              <w:t xml:space="preserve"> This statute established the</w:t>
            </w:r>
            <w:r w:rsidR="00904DEB" w:rsidRPr="00520587">
              <w:rPr>
                <w:rFonts w:ascii="Garamond" w:hAnsi="Garamond"/>
                <w:color w:val="000000" w:themeColor="text1"/>
                <w:sz w:val="18"/>
                <w:szCs w:val="18"/>
              </w:rPr>
              <w:t xml:space="preserve"> “Bangladesh</w:t>
            </w:r>
            <w:r w:rsidR="004E1624" w:rsidRPr="00520587">
              <w:rPr>
                <w:rFonts w:ascii="Garamond" w:hAnsi="Garamond"/>
                <w:color w:val="000000" w:themeColor="text1"/>
                <w:sz w:val="18"/>
                <w:szCs w:val="18"/>
              </w:rPr>
              <w:t xml:space="preserve"> Telecommunication</w:t>
            </w:r>
            <w:r w:rsidR="00904DEB" w:rsidRPr="00520587">
              <w:rPr>
                <w:rFonts w:ascii="Garamond" w:hAnsi="Garamond"/>
                <w:color w:val="000000" w:themeColor="text1"/>
                <w:sz w:val="18"/>
                <w:szCs w:val="18"/>
              </w:rPr>
              <w:t xml:space="preserve"> Regulatory Commission” </w:t>
            </w:r>
            <w:r w:rsidR="00C22CA1" w:rsidRPr="00520587">
              <w:rPr>
                <w:rFonts w:ascii="Garamond" w:hAnsi="Garamond"/>
                <w:color w:val="000000" w:themeColor="text1"/>
                <w:sz w:val="18"/>
                <w:szCs w:val="18"/>
              </w:rPr>
              <w:t xml:space="preserve">for the purpose of </w:t>
            </w:r>
            <w:r w:rsidR="00907695" w:rsidRPr="00520587">
              <w:rPr>
                <w:rFonts w:ascii="Garamond" w:hAnsi="Garamond"/>
                <w:color w:val="000000" w:themeColor="text1"/>
                <w:sz w:val="18"/>
                <w:szCs w:val="18"/>
              </w:rPr>
              <w:t>development and efficient regulation of telecommunication system and services. See Preamble</w:t>
            </w:r>
            <w:r w:rsidR="00FF3E7C" w:rsidRPr="00520587">
              <w:rPr>
                <w:rFonts w:ascii="Garamond" w:hAnsi="Garamond"/>
                <w:color w:val="000000" w:themeColor="text1"/>
                <w:sz w:val="18"/>
                <w:szCs w:val="18"/>
              </w:rPr>
              <w:t xml:space="preserve"> &amp; </w:t>
            </w:r>
            <w:r w:rsidR="00FF3E7C" w:rsidRPr="00520587">
              <w:rPr>
                <w:rStyle w:val="hgkelc"/>
                <w:rFonts w:ascii="Garamond" w:hAnsi="Garamond"/>
                <w:color w:val="000000" w:themeColor="text1"/>
                <w:sz w:val="18"/>
                <w:szCs w:val="18"/>
                <w:lang w:val="en"/>
              </w:rPr>
              <w:t>§6</w:t>
            </w:r>
            <w:r w:rsidR="00907695" w:rsidRPr="00520587">
              <w:rPr>
                <w:rFonts w:ascii="Garamond" w:hAnsi="Garamond"/>
                <w:color w:val="000000" w:themeColor="text1"/>
                <w:sz w:val="18"/>
                <w:szCs w:val="18"/>
              </w:rPr>
              <w:t>.</w:t>
            </w:r>
            <w:r w:rsidR="00904DEB" w:rsidRPr="00520587">
              <w:rPr>
                <w:rFonts w:ascii="Garamond" w:hAnsi="Garamond"/>
                <w:color w:val="000000" w:themeColor="text1"/>
                <w:sz w:val="18"/>
                <w:szCs w:val="18"/>
              </w:rPr>
              <w:t xml:space="preserve"> </w:t>
            </w:r>
            <w:r w:rsidR="004E1624" w:rsidRPr="00520587">
              <w:rPr>
                <w:rFonts w:ascii="Garamond" w:hAnsi="Garamond"/>
                <w:color w:val="000000" w:themeColor="text1"/>
                <w:sz w:val="18"/>
                <w:szCs w:val="18"/>
              </w:rPr>
              <w:t xml:space="preserve"> </w:t>
            </w:r>
            <w:r w:rsidR="00737CC1" w:rsidRPr="00520587">
              <w:rPr>
                <w:rFonts w:ascii="Garamond" w:hAnsi="Garamond"/>
                <w:color w:val="000000" w:themeColor="text1"/>
                <w:sz w:val="18"/>
                <w:szCs w:val="18"/>
              </w:rPr>
              <w:t xml:space="preserve"> </w:t>
            </w:r>
          </w:p>
          <w:p w14:paraId="1D6B8E9D" w14:textId="77777777" w:rsidR="00BC42E7" w:rsidRPr="00520587" w:rsidRDefault="00BC42E7" w:rsidP="007C4481">
            <w:pPr>
              <w:pStyle w:val="ListParagraph"/>
              <w:numPr>
                <w:ilvl w:val="0"/>
                <w:numId w:val="7"/>
              </w:numPr>
              <w:rPr>
                <w:rFonts w:ascii="Garamond" w:hAnsi="Garamond"/>
                <w:color w:val="000000" w:themeColor="text1"/>
                <w:sz w:val="18"/>
                <w:szCs w:val="18"/>
              </w:rPr>
            </w:pPr>
            <w:r w:rsidRPr="00520587">
              <w:rPr>
                <w:rFonts w:ascii="Garamond" w:hAnsi="Garamond"/>
                <w:color w:val="000000" w:themeColor="text1"/>
                <w:sz w:val="18"/>
                <w:szCs w:val="18"/>
              </w:rPr>
              <w:t xml:space="preserve">Bangladesh Telecommunication Regulatory Commission is the primary agency responsible for the promotion of competition in the sector, as it has specialized knowledge of technical aspects of the sector. </w:t>
            </w:r>
          </w:p>
          <w:p w14:paraId="758FFD6C" w14:textId="213D8384" w:rsidR="00D611BA" w:rsidRPr="00520587" w:rsidRDefault="00D611BA" w:rsidP="007C4481">
            <w:pPr>
              <w:pStyle w:val="ListParagraph"/>
              <w:numPr>
                <w:ilvl w:val="0"/>
                <w:numId w:val="7"/>
              </w:numPr>
              <w:rPr>
                <w:rFonts w:ascii="Garamond" w:hAnsi="Garamond"/>
                <w:color w:val="000000" w:themeColor="text1"/>
                <w:sz w:val="18"/>
                <w:szCs w:val="18"/>
              </w:rPr>
            </w:pPr>
            <w:r w:rsidRPr="00520587">
              <w:rPr>
                <w:rFonts w:ascii="Garamond" w:hAnsi="Garamond"/>
                <w:color w:val="000000" w:themeColor="text1"/>
                <w:sz w:val="18"/>
                <w:szCs w:val="18"/>
              </w:rPr>
              <w:t xml:space="preserve">One of the functions of the Commission, as </w:t>
            </w:r>
            <w:r w:rsidR="0007518A" w:rsidRPr="00520587">
              <w:rPr>
                <w:rFonts w:ascii="Garamond" w:hAnsi="Garamond"/>
                <w:color w:val="000000" w:themeColor="text1"/>
                <w:sz w:val="18"/>
                <w:szCs w:val="18"/>
              </w:rPr>
              <w:t xml:space="preserve">articulated in the </w:t>
            </w:r>
            <w:r w:rsidRPr="00520587">
              <w:rPr>
                <w:rFonts w:ascii="Garamond" w:hAnsi="Garamond"/>
                <w:color w:val="000000" w:themeColor="text1"/>
                <w:sz w:val="18"/>
                <w:szCs w:val="18"/>
              </w:rPr>
              <w:t xml:space="preserve">Act, is to maintain and promote competition among the service </w:t>
            </w:r>
            <w:r w:rsidR="008C484A" w:rsidRPr="00520587">
              <w:rPr>
                <w:rFonts w:ascii="Garamond" w:hAnsi="Garamond"/>
                <w:color w:val="000000" w:themeColor="text1"/>
                <w:sz w:val="18"/>
                <w:szCs w:val="18"/>
              </w:rPr>
              <w:t>providers</w:t>
            </w:r>
            <w:r w:rsidRPr="00520587">
              <w:rPr>
                <w:rFonts w:ascii="Garamond" w:hAnsi="Garamond"/>
                <w:color w:val="000000" w:themeColor="text1"/>
                <w:sz w:val="18"/>
                <w:szCs w:val="18"/>
              </w:rPr>
              <w:t xml:space="preserve"> </w:t>
            </w:r>
            <w:r w:rsidR="008C484A" w:rsidRPr="00520587">
              <w:rPr>
                <w:rFonts w:ascii="Garamond" w:hAnsi="Garamond"/>
                <w:color w:val="000000" w:themeColor="text1"/>
                <w:sz w:val="18"/>
                <w:szCs w:val="18"/>
              </w:rPr>
              <w:t xml:space="preserve">in order to ensure </w:t>
            </w:r>
            <w:r w:rsidR="007E38D2" w:rsidRPr="00520587">
              <w:rPr>
                <w:rFonts w:ascii="Garamond" w:hAnsi="Garamond"/>
                <w:color w:val="000000" w:themeColor="text1"/>
                <w:sz w:val="18"/>
                <w:szCs w:val="18"/>
              </w:rPr>
              <w:t xml:space="preserve">high-quality telecommunication services. See </w:t>
            </w:r>
            <w:r w:rsidR="007E38D2" w:rsidRPr="00520587">
              <w:rPr>
                <w:rStyle w:val="hgkelc"/>
                <w:rFonts w:ascii="Garamond" w:hAnsi="Garamond"/>
                <w:color w:val="000000" w:themeColor="text1"/>
                <w:sz w:val="18"/>
                <w:szCs w:val="18"/>
                <w:lang w:val="en"/>
              </w:rPr>
              <w:t>§30</w:t>
            </w:r>
            <w:r w:rsidR="004934A8" w:rsidRPr="00520587">
              <w:rPr>
                <w:rStyle w:val="hgkelc"/>
                <w:rFonts w:ascii="Garamond" w:hAnsi="Garamond"/>
                <w:color w:val="000000" w:themeColor="text1"/>
                <w:sz w:val="18"/>
                <w:szCs w:val="18"/>
                <w:lang w:val="en"/>
              </w:rPr>
              <w:t xml:space="preserve"> (e)</w:t>
            </w:r>
            <w:r w:rsidR="00FF3E7C" w:rsidRPr="00520587">
              <w:rPr>
                <w:rStyle w:val="hgkelc"/>
                <w:rFonts w:ascii="Garamond" w:hAnsi="Garamond"/>
                <w:color w:val="000000" w:themeColor="text1"/>
                <w:sz w:val="18"/>
                <w:szCs w:val="18"/>
                <w:lang w:val="en"/>
              </w:rPr>
              <w:t>.</w:t>
            </w:r>
          </w:p>
          <w:p w14:paraId="6658C842" w14:textId="5733F1A5" w:rsidR="001C7EF8" w:rsidRPr="00520587" w:rsidRDefault="001C7EF8" w:rsidP="007C4481">
            <w:pPr>
              <w:pStyle w:val="ListParagraph"/>
              <w:numPr>
                <w:ilvl w:val="0"/>
                <w:numId w:val="7"/>
              </w:numPr>
              <w:rPr>
                <w:rFonts w:ascii="Garamond" w:hAnsi="Garamond"/>
                <w:color w:val="000000" w:themeColor="text1"/>
                <w:sz w:val="18"/>
                <w:szCs w:val="18"/>
              </w:rPr>
            </w:pPr>
            <w:r w:rsidRPr="00520587">
              <w:rPr>
                <w:rFonts w:ascii="Garamond" w:hAnsi="Garamond"/>
                <w:color w:val="000000" w:themeColor="text1"/>
                <w:sz w:val="18"/>
                <w:szCs w:val="18"/>
              </w:rPr>
              <w:t xml:space="preserve">However, </w:t>
            </w:r>
            <w:r w:rsidR="00E7567D" w:rsidRPr="00520587">
              <w:rPr>
                <w:rFonts w:ascii="Garamond" w:hAnsi="Garamond"/>
                <w:color w:val="000000" w:themeColor="text1"/>
                <w:sz w:val="18"/>
                <w:szCs w:val="18"/>
              </w:rPr>
              <w:t>the Bangladesh Competition Commission has the power</w:t>
            </w:r>
            <w:r w:rsidR="00773190" w:rsidRPr="00520587">
              <w:rPr>
                <w:rFonts w:ascii="Garamond" w:hAnsi="Garamond"/>
                <w:color w:val="000000" w:themeColor="text1"/>
                <w:sz w:val="18"/>
                <w:szCs w:val="18"/>
              </w:rPr>
              <w:t xml:space="preserve"> under the Competition  Act to approve or forbid mergers and acquisitions in the telecommunications sectors. </w:t>
            </w:r>
            <w:r w:rsidR="007513B9" w:rsidRPr="00520587">
              <w:rPr>
                <w:rFonts w:ascii="Garamond" w:hAnsi="Garamond"/>
                <w:color w:val="000000" w:themeColor="text1"/>
                <w:sz w:val="18"/>
                <w:szCs w:val="18"/>
              </w:rPr>
              <w:t xml:space="preserve">See </w:t>
            </w:r>
            <w:r w:rsidR="007513B9" w:rsidRPr="00520587">
              <w:rPr>
                <w:rStyle w:val="hgkelc"/>
                <w:rFonts w:ascii="Garamond" w:hAnsi="Garamond"/>
                <w:color w:val="000000" w:themeColor="text1"/>
                <w:sz w:val="18"/>
                <w:szCs w:val="18"/>
                <w:lang w:val="en"/>
              </w:rPr>
              <w:t xml:space="preserve">§21. </w:t>
            </w:r>
          </w:p>
          <w:p w14:paraId="62301E3C" w14:textId="77777777" w:rsidR="001B592A" w:rsidRPr="00520587" w:rsidRDefault="001B592A" w:rsidP="007C4481">
            <w:pPr>
              <w:pStyle w:val="ListParagraph"/>
              <w:numPr>
                <w:ilvl w:val="0"/>
                <w:numId w:val="6"/>
              </w:numPr>
              <w:rPr>
                <w:rFonts w:ascii="Garamond" w:hAnsi="Garamond"/>
                <w:b/>
                <w:bCs/>
                <w:color w:val="000000" w:themeColor="text1"/>
                <w:sz w:val="18"/>
                <w:szCs w:val="18"/>
              </w:rPr>
            </w:pPr>
            <w:r w:rsidRPr="00520587">
              <w:rPr>
                <w:rFonts w:ascii="Garamond" w:hAnsi="Garamond"/>
                <w:b/>
                <w:bCs/>
                <w:color w:val="000000" w:themeColor="text1"/>
                <w:sz w:val="18"/>
                <w:szCs w:val="18"/>
              </w:rPr>
              <w:t>Energy Sector:</w:t>
            </w:r>
          </w:p>
          <w:p w14:paraId="2C2ABA49" w14:textId="2A2CA6D6" w:rsidR="00B578B4" w:rsidRPr="00520587" w:rsidRDefault="00DC5FC7" w:rsidP="007C4481">
            <w:pPr>
              <w:pStyle w:val="ListParagraph"/>
              <w:numPr>
                <w:ilvl w:val="0"/>
                <w:numId w:val="8"/>
              </w:numPr>
              <w:rPr>
                <w:rStyle w:val="hgkelc"/>
                <w:rFonts w:ascii="Garamond" w:hAnsi="Garamond"/>
                <w:color w:val="000000" w:themeColor="text1"/>
                <w:sz w:val="18"/>
                <w:szCs w:val="18"/>
              </w:rPr>
            </w:pPr>
            <w:r w:rsidRPr="00520587">
              <w:rPr>
                <w:rFonts w:ascii="Garamond" w:hAnsi="Garamond"/>
                <w:color w:val="000000" w:themeColor="text1"/>
                <w:sz w:val="18"/>
                <w:szCs w:val="18"/>
              </w:rPr>
              <w:t>The principal law regulating the energy sector is t</w:t>
            </w:r>
            <w:r w:rsidR="00D62CC1" w:rsidRPr="00520587">
              <w:rPr>
                <w:rFonts w:ascii="Garamond" w:hAnsi="Garamond"/>
                <w:color w:val="000000" w:themeColor="text1"/>
                <w:sz w:val="18"/>
                <w:szCs w:val="18"/>
              </w:rPr>
              <w:t xml:space="preserve">he </w:t>
            </w:r>
            <w:r w:rsidR="00B57515" w:rsidRPr="00520587">
              <w:rPr>
                <w:rFonts w:ascii="Garamond" w:hAnsi="Garamond"/>
                <w:b/>
                <w:bCs/>
                <w:color w:val="000000" w:themeColor="text1"/>
                <w:sz w:val="18"/>
                <w:szCs w:val="18"/>
              </w:rPr>
              <w:t>Bangladesh Energy Regulatory Commission Act, 2003</w:t>
            </w:r>
            <w:r w:rsidR="00B57515" w:rsidRPr="00520587">
              <w:rPr>
                <w:rFonts w:ascii="Garamond" w:hAnsi="Garamond"/>
                <w:color w:val="000000" w:themeColor="text1"/>
                <w:sz w:val="18"/>
                <w:szCs w:val="18"/>
              </w:rPr>
              <w:t xml:space="preserve"> (Act No. XIII of 2003)</w:t>
            </w:r>
            <w:r w:rsidRPr="00520587">
              <w:rPr>
                <w:rFonts w:ascii="Garamond" w:hAnsi="Garamond"/>
                <w:color w:val="000000" w:themeColor="text1"/>
                <w:sz w:val="18"/>
                <w:szCs w:val="18"/>
              </w:rPr>
              <w:t>.</w:t>
            </w:r>
            <w:r w:rsidR="000B4508" w:rsidRPr="00520587">
              <w:rPr>
                <w:rFonts w:ascii="Garamond" w:hAnsi="Garamond"/>
                <w:color w:val="000000" w:themeColor="text1"/>
                <w:sz w:val="18"/>
                <w:szCs w:val="18"/>
              </w:rPr>
              <w:t xml:space="preserve"> It established </w:t>
            </w:r>
            <w:r w:rsidR="00E843BE" w:rsidRPr="00520587">
              <w:rPr>
                <w:rFonts w:ascii="Garamond" w:hAnsi="Garamond"/>
                <w:color w:val="000000" w:themeColor="text1"/>
                <w:sz w:val="18"/>
                <w:szCs w:val="18"/>
              </w:rPr>
              <w:t xml:space="preserve">the Bangladesh Energy Regulatory Commission </w:t>
            </w:r>
            <w:r w:rsidR="00C40D40" w:rsidRPr="00520587">
              <w:rPr>
                <w:rFonts w:ascii="Garamond" w:hAnsi="Garamond"/>
                <w:color w:val="000000" w:themeColor="text1"/>
                <w:sz w:val="18"/>
                <w:szCs w:val="18"/>
              </w:rPr>
              <w:t>to promote the goals of the Act</w:t>
            </w:r>
            <w:r w:rsidR="008940A3" w:rsidRPr="00520587">
              <w:rPr>
                <w:rFonts w:ascii="Garamond" w:hAnsi="Garamond"/>
                <w:color w:val="000000" w:themeColor="text1"/>
                <w:sz w:val="18"/>
                <w:szCs w:val="18"/>
              </w:rPr>
              <w:t xml:space="preserve"> (i.e., creating a competitive market). See </w:t>
            </w:r>
            <w:r w:rsidR="008940A3" w:rsidRPr="00520587">
              <w:rPr>
                <w:rStyle w:val="hgkelc"/>
                <w:rFonts w:ascii="Garamond" w:hAnsi="Garamond"/>
                <w:color w:val="000000" w:themeColor="text1"/>
                <w:sz w:val="18"/>
                <w:szCs w:val="18"/>
                <w:lang w:val="en"/>
              </w:rPr>
              <w:t xml:space="preserve">§4. </w:t>
            </w:r>
          </w:p>
          <w:p w14:paraId="11D087DE" w14:textId="6F505126" w:rsidR="008940A3" w:rsidRPr="00520587" w:rsidRDefault="009D6D6A" w:rsidP="007C4481">
            <w:pPr>
              <w:pStyle w:val="ListParagraph"/>
              <w:numPr>
                <w:ilvl w:val="0"/>
                <w:numId w:val="8"/>
              </w:numPr>
              <w:rPr>
                <w:rFonts w:ascii="Garamond" w:hAnsi="Garamond"/>
                <w:color w:val="000000" w:themeColor="text1"/>
                <w:sz w:val="18"/>
                <w:szCs w:val="18"/>
              </w:rPr>
            </w:pPr>
            <w:r w:rsidRPr="00520587">
              <w:rPr>
                <w:rFonts w:ascii="Garamond" w:hAnsi="Garamond"/>
                <w:color w:val="000000" w:themeColor="text1"/>
                <w:sz w:val="18"/>
                <w:szCs w:val="18"/>
              </w:rPr>
              <w:t xml:space="preserve">The Commission is vested with the duty to </w:t>
            </w:r>
            <w:r w:rsidR="003C27FE" w:rsidRPr="00520587">
              <w:rPr>
                <w:rFonts w:ascii="Garamond" w:hAnsi="Garamond"/>
                <w:color w:val="000000" w:themeColor="text1"/>
                <w:sz w:val="18"/>
                <w:szCs w:val="18"/>
              </w:rPr>
              <w:t xml:space="preserve">encourage in creating a congenial atmosphere to promote competition amongst the </w:t>
            </w:r>
            <w:r w:rsidR="004359A0" w:rsidRPr="00520587">
              <w:rPr>
                <w:rFonts w:ascii="Garamond" w:hAnsi="Garamond"/>
                <w:color w:val="000000" w:themeColor="text1"/>
                <w:sz w:val="18"/>
                <w:szCs w:val="18"/>
              </w:rPr>
              <w:t>licensees</w:t>
            </w:r>
            <w:r w:rsidR="003C27FE" w:rsidRPr="00520587">
              <w:rPr>
                <w:rFonts w:ascii="Garamond" w:hAnsi="Garamond"/>
                <w:color w:val="000000" w:themeColor="text1"/>
                <w:sz w:val="18"/>
                <w:szCs w:val="18"/>
              </w:rPr>
              <w:t>.</w:t>
            </w:r>
            <w:r w:rsidR="004359A0" w:rsidRPr="00520587">
              <w:rPr>
                <w:rFonts w:ascii="Garamond" w:hAnsi="Garamond"/>
                <w:color w:val="000000" w:themeColor="text1"/>
                <w:sz w:val="18"/>
                <w:szCs w:val="18"/>
              </w:rPr>
              <w:t xml:space="preserve"> See </w:t>
            </w:r>
            <w:r w:rsidR="004359A0" w:rsidRPr="00520587">
              <w:rPr>
                <w:rStyle w:val="hgkelc"/>
                <w:rFonts w:ascii="Garamond" w:hAnsi="Garamond"/>
                <w:color w:val="000000" w:themeColor="text1"/>
                <w:sz w:val="18"/>
                <w:szCs w:val="18"/>
                <w:lang w:val="en"/>
              </w:rPr>
              <w:t>§22(h).</w:t>
            </w:r>
            <w:r w:rsidR="009C16F7" w:rsidRPr="00520587">
              <w:rPr>
                <w:rStyle w:val="hgkelc"/>
                <w:rFonts w:ascii="Garamond" w:hAnsi="Garamond"/>
                <w:color w:val="000000" w:themeColor="text1"/>
                <w:sz w:val="18"/>
                <w:szCs w:val="18"/>
                <w:lang w:val="en"/>
              </w:rPr>
              <w:t xml:space="preserve"> It has the responsibility to evaluate the </w:t>
            </w:r>
            <w:r w:rsidR="003C27FE" w:rsidRPr="00520587">
              <w:rPr>
                <w:rFonts w:ascii="Garamond" w:hAnsi="Garamond"/>
                <w:color w:val="000000" w:themeColor="text1"/>
                <w:sz w:val="18"/>
                <w:szCs w:val="18"/>
              </w:rPr>
              <w:t xml:space="preserve"> </w:t>
            </w:r>
            <w:r w:rsidR="009C16F7" w:rsidRPr="00520587">
              <w:rPr>
                <w:rFonts w:ascii="Garamond" w:hAnsi="Garamond"/>
                <w:color w:val="000000" w:themeColor="text1"/>
                <w:sz w:val="18"/>
                <w:szCs w:val="18"/>
              </w:rPr>
              <w:t>merger</w:t>
            </w:r>
            <w:r w:rsidR="00FC45A2" w:rsidRPr="00520587">
              <w:rPr>
                <w:rFonts w:ascii="Garamond" w:hAnsi="Garamond"/>
                <w:color w:val="000000" w:themeColor="text1"/>
                <w:sz w:val="18"/>
                <w:szCs w:val="18"/>
              </w:rPr>
              <w:t xml:space="preserve"> of the energy companies. </w:t>
            </w:r>
          </w:p>
          <w:p w14:paraId="6FF33811" w14:textId="4060FDDF" w:rsidR="001B592A" w:rsidRPr="00520587" w:rsidRDefault="001B592A" w:rsidP="007C4481">
            <w:pPr>
              <w:pStyle w:val="ListParagraph"/>
              <w:numPr>
                <w:ilvl w:val="0"/>
                <w:numId w:val="6"/>
              </w:numPr>
              <w:rPr>
                <w:rFonts w:ascii="Garamond" w:hAnsi="Garamond"/>
                <w:b/>
                <w:bCs/>
                <w:color w:val="000000" w:themeColor="text1"/>
                <w:sz w:val="18"/>
                <w:szCs w:val="18"/>
              </w:rPr>
            </w:pPr>
            <w:r w:rsidRPr="00520587">
              <w:rPr>
                <w:rFonts w:ascii="Garamond" w:hAnsi="Garamond"/>
                <w:b/>
                <w:bCs/>
                <w:color w:val="000000" w:themeColor="text1"/>
                <w:sz w:val="18"/>
                <w:szCs w:val="18"/>
              </w:rPr>
              <w:t>Securities &amp; Exchange Commission</w:t>
            </w:r>
            <w:r w:rsidR="00A239BA" w:rsidRPr="00520587">
              <w:rPr>
                <w:rFonts w:ascii="Garamond" w:hAnsi="Garamond"/>
                <w:b/>
                <w:bCs/>
                <w:color w:val="000000" w:themeColor="text1"/>
                <w:sz w:val="18"/>
                <w:szCs w:val="18"/>
              </w:rPr>
              <w:t>:</w:t>
            </w:r>
          </w:p>
          <w:p w14:paraId="4FC8DD1C" w14:textId="1B681134" w:rsidR="00282B38" w:rsidRPr="00520587" w:rsidRDefault="00BB12FE" w:rsidP="007C4481">
            <w:pPr>
              <w:pStyle w:val="ListParagraph"/>
              <w:numPr>
                <w:ilvl w:val="0"/>
                <w:numId w:val="9"/>
              </w:numPr>
              <w:rPr>
                <w:rFonts w:ascii="Garamond" w:hAnsi="Garamond"/>
                <w:color w:val="000000" w:themeColor="text1"/>
                <w:sz w:val="18"/>
                <w:szCs w:val="18"/>
              </w:rPr>
            </w:pPr>
            <w:r w:rsidRPr="00520587">
              <w:rPr>
                <w:rFonts w:ascii="Garamond" w:hAnsi="Garamond"/>
                <w:color w:val="000000" w:themeColor="text1"/>
                <w:sz w:val="18"/>
                <w:szCs w:val="18"/>
              </w:rPr>
              <w:t xml:space="preserve">The </w:t>
            </w:r>
            <w:r w:rsidR="000370F8" w:rsidRPr="00520587">
              <w:rPr>
                <w:rFonts w:ascii="Garamond" w:hAnsi="Garamond"/>
                <w:color w:val="000000" w:themeColor="text1"/>
                <w:sz w:val="18"/>
                <w:szCs w:val="18"/>
              </w:rPr>
              <w:t xml:space="preserve">Bangladesh </w:t>
            </w:r>
            <w:r w:rsidRPr="00520587">
              <w:rPr>
                <w:rFonts w:ascii="Garamond" w:hAnsi="Garamond"/>
                <w:color w:val="000000" w:themeColor="text1"/>
                <w:sz w:val="18"/>
                <w:szCs w:val="18"/>
              </w:rPr>
              <w:t xml:space="preserve">Securities </w:t>
            </w:r>
            <w:r w:rsidR="000370F8" w:rsidRPr="00520587">
              <w:rPr>
                <w:rFonts w:ascii="Garamond" w:hAnsi="Garamond"/>
                <w:color w:val="000000" w:themeColor="text1"/>
                <w:sz w:val="18"/>
                <w:szCs w:val="18"/>
              </w:rPr>
              <w:t>Exchange Commission</w:t>
            </w:r>
            <w:r w:rsidR="00960953" w:rsidRPr="00520587">
              <w:rPr>
                <w:rFonts w:ascii="Garamond" w:hAnsi="Garamond"/>
                <w:color w:val="000000" w:themeColor="text1"/>
                <w:sz w:val="18"/>
                <w:szCs w:val="18"/>
              </w:rPr>
              <w:t xml:space="preserve"> -  </w:t>
            </w:r>
            <w:r w:rsidR="00452A58" w:rsidRPr="00520587">
              <w:rPr>
                <w:rFonts w:ascii="Garamond" w:hAnsi="Garamond"/>
                <w:color w:val="000000" w:themeColor="text1"/>
                <w:sz w:val="18"/>
                <w:szCs w:val="18"/>
              </w:rPr>
              <w:t>established</w:t>
            </w:r>
            <w:r w:rsidR="00960953" w:rsidRPr="00520587">
              <w:rPr>
                <w:rFonts w:ascii="Garamond" w:hAnsi="Garamond"/>
                <w:color w:val="000000" w:themeColor="text1"/>
                <w:sz w:val="18"/>
                <w:szCs w:val="18"/>
              </w:rPr>
              <w:t xml:space="preserve"> </w:t>
            </w:r>
            <w:r w:rsidR="00452A58" w:rsidRPr="00520587">
              <w:rPr>
                <w:rFonts w:ascii="Garamond" w:hAnsi="Garamond"/>
                <w:color w:val="000000" w:themeColor="text1"/>
                <w:sz w:val="18"/>
                <w:szCs w:val="18"/>
              </w:rPr>
              <w:t xml:space="preserve"> under the Bangladesh </w:t>
            </w:r>
            <w:r w:rsidR="00F968C3" w:rsidRPr="00520587">
              <w:rPr>
                <w:rFonts w:ascii="Garamond" w:hAnsi="Garamond"/>
                <w:color w:val="000000" w:themeColor="text1"/>
                <w:sz w:val="18"/>
                <w:szCs w:val="18"/>
              </w:rPr>
              <w:t xml:space="preserve">Securities Exchange Commission Act, 2003 (Act No. XV of 1993) </w:t>
            </w:r>
            <w:r w:rsidR="00CA131B" w:rsidRPr="00520587">
              <w:rPr>
                <w:rFonts w:ascii="Garamond" w:hAnsi="Garamond"/>
                <w:color w:val="000000" w:themeColor="text1"/>
                <w:sz w:val="18"/>
                <w:szCs w:val="18"/>
              </w:rPr>
              <w:t>–</w:t>
            </w:r>
            <w:r w:rsidR="00F968C3" w:rsidRPr="00520587">
              <w:rPr>
                <w:rFonts w:ascii="Garamond" w:hAnsi="Garamond"/>
                <w:color w:val="000000" w:themeColor="text1"/>
                <w:sz w:val="18"/>
                <w:szCs w:val="18"/>
              </w:rPr>
              <w:t xml:space="preserve"> </w:t>
            </w:r>
            <w:r w:rsidR="00CA131B" w:rsidRPr="00520587">
              <w:rPr>
                <w:rFonts w:ascii="Garamond" w:hAnsi="Garamond"/>
                <w:color w:val="000000" w:themeColor="text1"/>
                <w:sz w:val="18"/>
                <w:szCs w:val="18"/>
              </w:rPr>
              <w:t>is primarily responsible for securing the interest of</w:t>
            </w:r>
            <w:r w:rsidR="00EC6A58" w:rsidRPr="00520587">
              <w:rPr>
                <w:rFonts w:ascii="Garamond" w:hAnsi="Garamond"/>
                <w:color w:val="000000" w:themeColor="text1"/>
                <w:sz w:val="18"/>
                <w:szCs w:val="18"/>
              </w:rPr>
              <w:t xml:space="preserve"> </w:t>
            </w:r>
            <w:r w:rsidR="001B4E1B" w:rsidRPr="00520587">
              <w:rPr>
                <w:rFonts w:ascii="Garamond" w:hAnsi="Garamond"/>
                <w:color w:val="000000" w:themeColor="text1"/>
                <w:sz w:val="18"/>
                <w:szCs w:val="18"/>
              </w:rPr>
              <w:t xml:space="preserve">investors in securities and taking initiatives for promoting and regulating the securities’ market. See </w:t>
            </w:r>
            <w:r w:rsidR="001B4E1B" w:rsidRPr="00520587">
              <w:rPr>
                <w:rStyle w:val="hgkelc"/>
                <w:rFonts w:ascii="Garamond" w:hAnsi="Garamond"/>
                <w:color w:val="000000" w:themeColor="text1"/>
                <w:sz w:val="18"/>
                <w:szCs w:val="18"/>
                <w:lang w:val="en"/>
              </w:rPr>
              <w:t>§8</w:t>
            </w:r>
            <w:r w:rsidR="00282B38" w:rsidRPr="00520587">
              <w:rPr>
                <w:rStyle w:val="hgkelc"/>
                <w:rFonts w:ascii="Garamond" w:hAnsi="Garamond"/>
                <w:color w:val="000000" w:themeColor="text1"/>
                <w:sz w:val="18"/>
                <w:szCs w:val="18"/>
                <w:lang w:val="en"/>
              </w:rPr>
              <w:t>(1).</w:t>
            </w:r>
            <w:r w:rsidR="00463573" w:rsidRPr="00520587">
              <w:rPr>
                <w:rStyle w:val="hgkelc"/>
                <w:rFonts w:ascii="Garamond" w:hAnsi="Garamond"/>
                <w:color w:val="000000" w:themeColor="text1"/>
                <w:sz w:val="18"/>
                <w:szCs w:val="18"/>
                <w:lang w:val="en"/>
              </w:rPr>
              <w:t xml:space="preserve"> Moreover, the </w:t>
            </w:r>
            <w:r w:rsidR="00960953" w:rsidRPr="00520587">
              <w:rPr>
                <w:rStyle w:val="hgkelc"/>
                <w:rFonts w:ascii="Garamond" w:hAnsi="Garamond"/>
                <w:color w:val="000000" w:themeColor="text1"/>
                <w:sz w:val="18"/>
                <w:szCs w:val="18"/>
                <w:lang w:val="en"/>
              </w:rPr>
              <w:t xml:space="preserve">Commission has the </w:t>
            </w:r>
            <w:r w:rsidR="00C835EA" w:rsidRPr="00520587">
              <w:rPr>
                <w:rStyle w:val="hgkelc"/>
                <w:rFonts w:ascii="Garamond" w:hAnsi="Garamond"/>
                <w:color w:val="000000" w:themeColor="text1"/>
                <w:sz w:val="18"/>
                <w:szCs w:val="18"/>
                <w:lang w:val="en"/>
              </w:rPr>
              <w:t xml:space="preserve">authority to regulate the holding of shares of stocks, takeovers, and </w:t>
            </w:r>
            <w:r w:rsidR="00F16A1A" w:rsidRPr="00520587">
              <w:rPr>
                <w:rStyle w:val="hgkelc"/>
                <w:rFonts w:ascii="Garamond" w:hAnsi="Garamond"/>
                <w:color w:val="000000" w:themeColor="text1"/>
                <w:sz w:val="18"/>
                <w:szCs w:val="18"/>
                <w:lang w:val="en"/>
              </w:rPr>
              <w:t xml:space="preserve">acquisitions of companies. See §8(2)(h). </w:t>
            </w:r>
          </w:p>
        </w:tc>
      </w:tr>
      <w:tr w:rsidR="00520587" w:rsidRPr="00520587" w14:paraId="3EDA3B5B" w14:textId="77777777" w:rsidTr="00E12C49">
        <w:trPr>
          <w:trHeight w:val="440"/>
        </w:trPr>
        <w:tc>
          <w:tcPr>
            <w:tcW w:w="3775" w:type="dxa"/>
            <w:vMerge w:val="restart"/>
            <w:vAlign w:val="center"/>
          </w:tcPr>
          <w:p w14:paraId="1E4DB979" w14:textId="398978B1" w:rsidR="00796D0C" w:rsidRPr="00520587" w:rsidRDefault="00796D0C" w:rsidP="00E12C49">
            <w:pPr>
              <w:jc w:val="center"/>
              <w:rPr>
                <w:rFonts w:ascii="Garamond" w:hAnsi="Garamond"/>
                <w:color w:val="000000" w:themeColor="text1"/>
                <w:sz w:val="18"/>
                <w:szCs w:val="18"/>
              </w:rPr>
            </w:pPr>
            <w:r w:rsidRPr="00520587">
              <w:rPr>
                <w:rFonts w:ascii="Garamond" w:hAnsi="Garamond"/>
                <w:color w:val="000000" w:themeColor="text1"/>
                <w:sz w:val="18"/>
                <w:szCs w:val="18"/>
              </w:rPr>
              <w:t>Have the Competition Authority and other agencies signed protocols or memoranda of understanding with sector regulators?</w:t>
            </w:r>
          </w:p>
        </w:tc>
        <w:tc>
          <w:tcPr>
            <w:tcW w:w="5575" w:type="dxa"/>
          </w:tcPr>
          <w:p w14:paraId="26D119DF" w14:textId="3573460C" w:rsidR="00796D0C" w:rsidRPr="00520587" w:rsidRDefault="00520587" w:rsidP="00796D0C">
            <w:pPr>
              <w:rPr>
                <w:rFonts w:ascii="Garamond" w:hAnsi="Garamond"/>
                <w:i/>
                <w:color w:val="000000" w:themeColor="text1"/>
                <w:sz w:val="18"/>
                <w:szCs w:val="18"/>
              </w:rPr>
            </w:pPr>
            <w:r w:rsidRPr="00342D61">
              <w:rPr>
                <w:rFonts w:ascii="Garamond" w:eastAsia="Garamond" w:hAnsi="Garamond"/>
                <w:i/>
                <w:color w:val="000000" w:themeColor="text1"/>
                <w:sz w:val="18"/>
                <w:szCs w:val="18"/>
              </w:rPr>
              <w:t>[</w:t>
            </w:r>
            <w:r w:rsidR="00796D0C" w:rsidRPr="00342D61">
              <w:rPr>
                <w:rFonts w:ascii="Garamond" w:eastAsia="Garamond" w:hAnsi="Garamond"/>
                <w:i/>
                <w:color w:val="000000" w:themeColor="text1"/>
                <w:sz w:val="18"/>
                <w:szCs w:val="18"/>
              </w:rPr>
              <w:t>Please mention here any provision or inter-institutional agreement that allows the competition authorities to coordinate behavior to effectively enforce competition la</w:t>
            </w:r>
            <w:r w:rsidRPr="00342D61">
              <w:rPr>
                <w:rFonts w:ascii="Garamond" w:eastAsia="Garamond" w:hAnsi="Garamond"/>
                <w:i/>
                <w:color w:val="000000" w:themeColor="text1"/>
                <w:sz w:val="18"/>
                <w:szCs w:val="18"/>
              </w:rPr>
              <w:t>w]</w:t>
            </w:r>
          </w:p>
        </w:tc>
      </w:tr>
      <w:tr w:rsidR="00520587" w:rsidRPr="00520587" w14:paraId="70054152" w14:textId="77777777" w:rsidTr="006724DB">
        <w:trPr>
          <w:trHeight w:val="850"/>
        </w:trPr>
        <w:tc>
          <w:tcPr>
            <w:tcW w:w="3775" w:type="dxa"/>
            <w:vMerge/>
          </w:tcPr>
          <w:p w14:paraId="0037E90F" w14:textId="77777777" w:rsidR="00796D0C" w:rsidRPr="00520587" w:rsidRDefault="00796D0C" w:rsidP="00CA420F">
            <w:pPr>
              <w:jc w:val="center"/>
              <w:rPr>
                <w:rFonts w:ascii="Garamond" w:hAnsi="Garamond"/>
                <w:color w:val="000000" w:themeColor="text1"/>
                <w:sz w:val="18"/>
                <w:szCs w:val="18"/>
              </w:rPr>
            </w:pPr>
          </w:p>
        </w:tc>
        <w:tc>
          <w:tcPr>
            <w:tcW w:w="5575" w:type="dxa"/>
          </w:tcPr>
          <w:p w14:paraId="10FE0186" w14:textId="676BC382" w:rsidR="00F4018C" w:rsidRPr="00520587" w:rsidRDefault="00894440" w:rsidP="00296E34">
            <w:pPr>
              <w:rPr>
                <w:rStyle w:val="hgkelc"/>
                <w:rFonts w:ascii="Garamond" w:hAnsi="Garamond"/>
                <w:color w:val="000000" w:themeColor="text1"/>
                <w:sz w:val="18"/>
                <w:szCs w:val="18"/>
                <w:lang w:val="en"/>
              </w:rPr>
            </w:pPr>
            <w:r w:rsidRPr="00520587">
              <w:rPr>
                <w:rFonts w:ascii="Garamond" w:hAnsi="Garamond"/>
                <w:color w:val="000000" w:themeColor="text1"/>
                <w:sz w:val="18"/>
                <w:szCs w:val="18"/>
              </w:rPr>
              <w:t xml:space="preserve">The </w:t>
            </w:r>
            <w:r w:rsidR="007F1F01" w:rsidRPr="00520587">
              <w:rPr>
                <w:rFonts w:ascii="Garamond" w:hAnsi="Garamond"/>
                <w:color w:val="000000" w:themeColor="text1"/>
                <w:sz w:val="18"/>
                <w:szCs w:val="18"/>
              </w:rPr>
              <w:t xml:space="preserve">Competition </w:t>
            </w:r>
            <w:r w:rsidRPr="00520587">
              <w:rPr>
                <w:rFonts w:ascii="Garamond" w:hAnsi="Garamond"/>
                <w:color w:val="000000" w:themeColor="text1"/>
                <w:sz w:val="18"/>
                <w:szCs w:val="18"/>
              </w:rPr>
              <w:t xml:space="preserve">Act </w:t>
            </w:r>
            <w:r w:rsidR="00311391" w:rsidRPr="00520587">
              <w:rPr>
                <w:rFonts w:ascii="Garamond" w:hAnsi="Garamond"/>
                <w:color w:val="000000" w:themeColor="text1"/>
                <w:sz w:val="18"/>
                <w:szCs w:val="18"/>
              </w:rPr>
              <w:t xml:space="preserve">articulates the </w:t>
            </w:r>
            <w:r w:rsidR="00C20A60" w:rsidRPr="00520587">
              <w:rPr>
                <w:rFonts w:ascii="Garamond" w:hAnsi="Garamond"/>
                <w:color w:val="000000" w:themeColor="text1"/>
                <w:sz w:val="18"/>
                <w:szCs w:val="18"/>
              </w:rPr>
              <w:t xml:space="preserve">process for the exchange of opinions between the Bangladesh Competition Commission and other sector regulators. </w:t>
            </w:r>
            <w:r w:rsidR="00EA2A07" w:rsidRPr="00520587">
              <w:rPr>
                <w:rFonts w:ascii="Garamond" w:hAnsi="Garamond"/>
                <w:color w:val="000000" w:themeColor="text1"/>
                <w:sz w:val="18"/>
                <w:szCs w:val="18"/>
              </w:rPr>
              <w:t>If any person raises any objection that any course of proceeding o</w:t>
            </w:r>
            <w:r w:rsidR="00100E6B" w:rsidRPr="00520587">
              <w:rPr>
                <w:rFonts w:ascii="Garamond" w:hAnsi="Garamond"/>
                <w:color w:val="000000" w:themeColor="text1"/>
                <w:sz w:val="18"/>
                <w:szCs w:val="18"/>
              </w:rPr>
              <w:t>f any statutory body or any decision of such body is contrary to the provision of th</w:t>
            </w:r>
            <w:r w:rsidR="00731D97" w:rsidRPr="00520587">
              <w:rPr>
                <w:rFonts w:ascii="Garamond" w:hAnsi="Garamond"/>
                <w:color w:val="000000" w:themeColor="text1"/>
                <w:sz w:val="18"/>
                <w:szCs w:val="18"/>
              </w:rPr>
              <w:t xml:space="preserve">is Act, such statutory body (sector regulator) may refer the issue to the Commission for taking proper action. See </w:t>
            </w:r>
            <w:r w:rsidR="00731D97" w:rsidRPr="00520587">
              <w:rPr>
                <w:rStyle w:val="hgkelc"/>
                <w:rFonts w:ascii="Garamond" w:hAnsi="Garamond"/>
                <w:color w:val="000000" w:themeColor="text1"/>
                <w:sz w:val="18"/>
                <w:szCs w:val="18"/>
                <w:lang w:val="en"/>
              </w:rPr>
              <w:t xml:space="preserve">§14(1). </w:t>
            </w:r>
          </w:p>
          <w:p w14:paraId="62B36C8C" w14:textId="77777777" w:rsidR="006978AB" w:rsidRPr="00520587" w:rsidRDefault="006978AB" w:rsidP="00296E34">
            <w:pPr>
              <w:rPr>
                <w:rFonts w:ascii="Garamond" w:hAnsi="Garamond"/>
                <w:color w:val="000000" w:themeColor="text1"/>
                <w:sz w:val="18"/>
                <w:szCs w:val="18"/>
                <w:lang w:val="en"/>
              </w:rPr>
            </w:pPr>
          </w:p>
          <w:p w14:paraId="7BF48E55" w14:textId="0626EA00" w:rsidR="00796D0C" w:rsidRPr="00520587" w:rsidRDefault="00F4018C" w:rsidP="006B1EC9">
            <w:pPr>
              <w:rPr>
                <w:rFonts w:ascii="Garamond" w:hAnsi="Garamond"/>
                <w:color w:val="000000" w:themeColor="text1"/>
                <w:sz w:val="18"/>
                <w:szCs w:val="18"/>
              </w:rPr>
            </w:pPr>
            <w:r w:rsidRPr="00520587">
              <w:rPr>
                <w:rFonts w:ascii="Garamond" w:hAnsi="Garamond"/>
                <w:color w:val="000000" w:themeColor="text1"/>
                <w:sz w:val="18"/>
                <w:szCs w:val="18"/>
              </w:rPr>
              <w:t xml:space="preserve">[Note: </w:t>
            </w:r>
            <w:r w:rsidR="005A7813" w:rsidRPr="00520587">
              <w:rPr>
                <w:rFonts w:ascii="Garamond" w:hAnsi="Garamond"/>
                <w:color w:val="000000" w:themeColor="text1"/>
                <w:sz w:val="18"/>
                <w:szCs w:val="18"/>
              </w:rPr>
              <w:t xml:space="preserve">The Commission prepared </w:t>
            </w:r>
            <w:r w:rsidR="002C369F" w:rsidRPr="00520587">
              <w:rPr>
                <w:rFonts w:ascii="Garamond" w:hAnsi="Garamond"/>
                <w:color w:val="000000" w:themeColor="text1"/>
                <w:sz w:val="18"/>
                <w:szCs w:val="18"/>
              </w:rPr>
              <w:t xml:space="preserve">a draft Bangladesh Competition Commission (Meetings and Miscellaneous Activities) Regulation </w:t>
            </w:r>
            <w:r w:rsidR="00E1202D" w:rsidRPr="00520587">
              <w:rPr>
                <w:rFonts w:ascii="Garamond" w:hAnsi="Garamond"/>
                <w:color w:val="000000" w:themeColor="text1"/>
                <w:sz w:val="18"/>
                <w:szCs w:val="18"/>
              </w:rPr>
              <w:t xml:space="preserve">to utilize this regulation to co-ordinate and share </w:t>
            </w:r>
            <w:r w:rsidR="006B1EC9" w:rsidRPr="00520587">
              <w:rPr>
                <w:rFonts w:ascii="Garamond" w:hAnsi="Garamond"/>
                <w:color w:val="000000" w:themeColor="text1"/>
                <w:sz w:val="18"/>
                <w:szCs w:val="18"/>
              </w:rPr>
              <w:t>information among different ministries and regulatory bodies in Bangladesh</w:t>
            </w:r>
            <w:r w:rsidR="00520587" w:rsidRPr="00520587">
              <w:rPr>
                <w:rFonts w:ascii="Garamond" w:hAnsi="Garamond"/>
                <w:color w:val="000000" w:themeColor="text1"/>
                <w:sz w:val="18"/>
                <w:szCs w:val="18"/>
              </w:rPr>
              <w:t>.</w:t>
            </w:r>
            <w:r w:rsidR="006B1EC9" w:rsidRPr="00520587">
              <w:rPr>
                <w:rFonts w:ascii="Garamond" w:hAnsi="Garamond"/>
                <w:color w:val="000000" w:themeColor="text1"/>
                <w:sz w:val="18"/>
                <w:szCs w:val="18"/>
              </w:rPr>
              <w:t xml:space="preserve">] </w:t>
            </w:r>
          </w:p>
        </w:tc>
      </w:tr>
    </w:tbl>
    <w:p w14:paraId="01460B76" w14:textId="77777777" w:rsidR="00C863C5" w:rsidRPr="00520587" w:rsidRDefault="00C863C5">
      <w:pPr>
        <w:rPr>
          <w:rFonts w:ascii="Garamond" w:hAnsi="Garamond"/>
          <w:color w:val="000000" w:themeColor="text1"/>
        </w:rPr>
      </w:pPr>
    </w:p>
    <w:tbl>
      <w:tblPr>
        <w:tblStyle w:val="TableGrid"/>
        <w:tblW w:w="0" w:type="auto"/>
        <w:tblLook w:val="04A0" w:firstRow="1" w:lastRow="0" w:firstColumn="1" w:lastColumn="0" w:noHBand="0" w:noVBand="1"/>
      </w:tblPr>
      <w:tblGrid>
        <w:gridCol w:w="3775"/>
        <w:gridCol w:w="630"/>
        <w:gridCol w:w="4945"/>
      </w:tblGrid>
      <w:tr w:rsidR="00520587" w:rsidRPr="00520587" w14:paraId="2EFDCA55" w14:textId="77777777" w:rsidTr="00210AC4">
        <w:tc>
          <w:tcPr>
            <w:tcW w:w="9350" w:type="dxa"/>
            <w:gridSpan w:val="3"/>
          </w:tcPr>
          <w:p w14:paraId="5805424C" w14:textId="77777777" w:rsidR="006F1352" w:rsidRPr="00520587" w:rsidRDefault="006F1352" w:rsidP="00CA420F">
            <w:pPr>
              <w:jc w:val="center"/>
              <w:rPr>
                <w:rFonts w:ascii="Garamond" w:hAnsi="Garamond"/>
                <w:b/>
                <w:bCs/>
                <w:smallCaps/>
                <w:color w:val="000000" w:themeColor="text1"/>
                <w:sz w:val="22"/>
                <w:szCs w:val="22"/>
              </w:rPr>
            </w:pPr>
            <w:r w:rsidRPr="00520587">
              <w:rPr>
                <w:rFonts w:ascii="Garamond" w:hAnsi="Garamond"/>
                <w:b/>
                <w:bCs/>
                <w:smallCaps/>
                <w:color w:val="000000" w:themeColor="text1"/>
                <w:sz w:val="22"/>
                <w:szCs w:val="22"/>
              </w:rPr>
              <w:lastRenderedPageBreak/>
              <w:t>Disaggregated Functions</w:t>
            </w:r>
          </w:p>
          <w:p w14:paraId="5D4EB189" w14:textId="09027638" w:rsidR="006F1352" w:rsidRPr="00520587" w:rsidRDefault="006F1352" w:rsidP="00CA420F">
            <w:pPr>
              <w:jc w:val="center"/>
              <w:rPr>
                <w:rFonts w:ascii="Garamond" w:hAnsi="Garamond"/>
                <w:b/>
                <w:bCs/>
                <w:smallCaps/>
                <w:color w:val="000000" w:themeColor="text1"/>
                <w:sz w:val="18"/>
                <w:szCs w:val="18"/>
              </w:rPr>
            </w:pPr>
            <w:r w:rsidRPr="00520587">
              <w:rPr>
                <w:rFonts w:ascii="Garamond" w:hAnsi="Garamond"/>
                <w:b/>
                <w:bCs/>
                <w:smallCaps/>
                <w:color w:val="000000" w:themeColor="text1"/>
                <w:sz w:val="22"/>
                <w:szCs w:val="22"/>
              </w:rPr>
              <w:t>Prosecutorial Model</w:t>
            </w:r>
          </w:p>
        </w:tc>
      </w:tr>
      <w:tr w:rsidR="00520587" w:rsidRPr="00520587" w14:paraId="0A032E2D" w14:textId="77777777" w:rsidTr="00592093">
        <w:trPr>
          <w:trHeight w:val="1097"/>
        </w:trPr>
        <w:tc>
          <w:tcPr>
            <w:tcW w:w="3775" w:type="dxa"/>
            <w:vMerge w:val="restart"/>
            <w:vAlign w:val="center"/>
          </w:tcPr>
          <w:p w14:paraId="438366D1" w14:textId="6AA43291" w:rsidR="00F23D5C" w:rsidRPr="00520587" w:rsidRDefault="00F23D5C" w:rsidP="00BA5A7C">
            <w:pPr>
              <w:jc w:val="center"/>
              <w:rPr>
                <w:rFonts w:ascii="Garamond" w:hAnsi="Garamond"/>
                <w:b/>
                <w:bCs/>
                <w:smallCaps/>
                <w:color w:val="000000" w:themeColor="text1"/>
              </w:rPr>
            </w:pPr>
            <w:r w:rsidRPr="00520587">
              <w:rPr>
                <w:rFonts w:ascii="Garamond" w:hAnsi="Garamond"/>
                <w:color w:val="000000" w:themeColor="text1"/>
                <w:sz w:val="18"/>
                <w:szCs w:val="18"/>
              </w:rPr>
              <w:t>Are there different authorities or agencies that make the decision to investigate and the final ruling in the cases?</w:t>
            </w:r>
          </w:p>
        </w:tc>
        <w:tc>
          <w:tcPr>
            <w:tcW w:w="630" w:type="dxa"/>
            <w:vMerge w:val="restart"/>
            <w:shd w:val="clear" w:color="auto" w:fill="auto"/>
            <w:vAlign w:val="center"/>
          </w:tcPr>
          <w:p w14:paraId="79845B32" w14:textId="188BB8D6" w:rsidR="00F23D5C" w:rsidRPr="00520587" w:rsidRDefault="00F23D5C" w:rsidP="00D075AA">
            <w:pPr>
              <w:jc w:val="center"/>
              <w:rPr>
                <w:rFonts w:ascii="Garamond" w:hAnsi="Garamond"/>
                <w:b/>
                <w:bCs/>
                <w:color w:val="000000" w:themeColor="text1"/>
                <w:sz w:val="18"/>
                <w:szCs w:val="18"/>
              </w:rPr>
            </w:pPr>
            <w:r w:rsidRPr="00520587">
              <w:rPr>
                <w:rFonts w:ascii="Garamond" w:hAnsi="Garamond"/>
                <w:b/>
                <w:bCs/>
                <w:color w:val="000000" w:themeColor="text1"/>
                <w:sz w:val="18"/>
                <w:szCs w:val="18"/>
              </w:rPr>
              <w:t>No</w:t>
            </w:r>
          </w:p>
        </w:tc>
        <w:tc>
          <w:tcPr>
            <w:tcW w:w="4945" w:type="dxa"/>
          </w:tcPr>
          <w:p w14:paraId="0B02661C" w14:textId="77777777" w:rsidR="00F23D5C" w:rsidRPr="00520587" w:rsidRDefault="0000375C" w:rsidP="0036072E">
            <w:pPr>
              <w:pBdr>
                <w:top w:val="nil"/>
                <w:left w:val="nil"/>
                <w:bottom w:val="nil"/>
                <w:right w:val="nil"/>
                <w:between w:val="nil"/>
              </w:pBdr>
              <w:spacing w:before="119"/>
              <w:ind w:right="43"/>
              <w:rPr>
                <w:rFonts w:ascii="Garamond" w:eastAsia="Garamond" w:hAnsi="Garamond"/>
                <w:i/>
                <w:color w:val="000000" w:themeColor="text1"/>
                <w:sz w:val="18"/>
                <w:szCs w:val="18"/>
              </w:rPr>
            </w:pPr>
            <w:r w:rsidRPr="00520587">
              <w:rPr>
                <w:rFonts w:ascii="Garamond" w:eastAsia="Garamond" w:hAnsi="Garamond"/>
                <w:i/>
                <w:color w:val="000000" w:themeColor="text1"/>
                <w:sz w:val="18"/>
                <w:szCs w:val="18"/>
              </w:rPr>
              <w:t xml:space="preserve">[If the answer is yes, please </w:t>
            </w:r>
            <w:r w:rsidRPr="00520587">
              <w:rPr>
                <w:rFonts w:ascii="Garamond" w:hAnsi="Garamond"/>
                <w:i/>
                <w:color w:val="000000" w:themeColor="text1"/>
                <w:sz w:val="18"/>
                <w:szCs w:val="18"/>
              </w:rPr>
              <w:t xml:space="preserve">briefly </w:t>
            </w:r>
            <w:proofErr w:type="gramStart"/>
            <w:r w:rsidRPr="00520587">
              <w:rPr>
                <w:rFonts w:ascii="Garamond" w:hAnsi="Garamond"/>
                <w:i/>
                <w:color w:val="000000" w:themeColor="text1"/>
                <w:sz w:val="18"/>
                <w:szCs w:val="18"/>
              </w:rPr>
              <w:t>explain</w:t>
            </w:r>
            <w:proofErr w:type="gramEnd"/>
            <w:r w:rsidRPr="00520587">
              <w:rPr>
                <w:rFonts w:ascii="Garamond" w:eastAsia="Garamond" w:hAnsi="Garamond"/>
                <w:i/>
                <w:color w:val="000000" w:themeColor="text1"/>
                <w:sz w:val="18"/>
                <w:szCs w:val="18"/>
              </w:rPr>
              <w:t xml:space="preserve"> the enforcement process, and include the relevant provisions. The purpose of this question is to understand the enforcement model of the jurisdiction and establish how many independent authorities are involved in the enforcement process and what are their functions.]</w:t>
            </w:r>
          </w:p>
          <w:p w14:paraId="0077ABB7" w14:textId="78024AF4" w:rsidR="00520587" w:rsidRPr="00520587" w:rsidRDefault="00520587" w:rsidP="0036072E">
            <w:pPr>
              <w:pBdr>
                <w:top w:val="nil"/>
                <w:left w:val="nil"/>
                <w:bottom w:val="nil"/>
                <w:right w:val="nil"/>
                <w:between w:val="nil"/>
              </w:pBdr>
              <w:spacing w:before="119"/>
              <w:ind w:right="43"/>
              <w:rPr>
                <w:rFonts w:ascii="Garamond" w:hAnsi="Garamond"/>
                <w:color w:val="000000" w:themeColor="text1"/>
                <w:sz w:val="18"/>
                <w:szCs w:val="18"/>
                <w:highlight w:val="yellow"/>
              </w:rPr>
            </w:pPr>
          </w:p>
        </w:tc>
      </w:tr>
      <w:tr w:rsidR="00520587" w:rsidRPr="00520587" w14:paraId="704CCAB8" w14:textId="77777777" w:rsidTr="00592093">
        <w:trPr>
          <w:trHeight w:val="701"/>
        </w:trPr>
        <w:tc>
          <w:tcPr>
            <w:tcW w:w="3775" w:type="dxa"/>
            <w:vMerge/>
          </w:tcPr>
          <w:p w14:paraId="51A0325B" w14:textId="77777777" w:rsidR="00F23D5C" w:rsidRPr="00520587" w:rsidRDefault="00F23D5C" w:rsidP="00CA420F">
            <w:pPr>
              <w:jc w:val="center"/>
              <w:rPr>
                <w:rFonts w:ascii="Garamond" w:hAnsi="Garamond"/>
                <w:color w:val="000000" w:themeColor="text1"/>
                <w:sz w:val="18"/>
                <w:szCs w:val="18"/>
              </w:rPr>
            </w:pPr>
          </w:p>
        </w:tc>
        <w:tc>
          <w:tcPr>
            <w:tcW w:w="630" w:type="dxa"/>
            <w:vMerge/>
            <w:shd w:val="clear" w:color="auto" w:fill="auto"/>
            <w:vAlign w:val="center"/>
          </w:tcPr>
          <w:p w14:paraId="09B89F2F" w14:textId="77777777" w:rsidR="00F23D5C" w:rsidRPr="00520587" w:rsidRDefault="00F23D5C" w:rsidP="00D075AA">
            <w:pPr>
              <w:jc w:val="center"/>
              <w:rPr>
                <w:rFonts w:ascii="Garamond" w:hAnsi="Garamond"/>
                <w:b/>
                <w:bCs/>
                <w:color w:val="000000" w:themeColor="text1"/>
                <w:sz w:val="18"/>
                <w:szCs w:val="18"/>
              </w:rPr>
            </w:pPr>
          </w:p>
        </w:tc>
        <w:tc>
          <w:tcPr>
            <w:tcW w:w="4945" w:type="dxa"/>
            <w:vAlign w:val="center"/>
          </w:tcPr>
          <w:p w14:paraId="0ABF848D" w14:textId="7290D3A9" w:rsidR="00F23D5C" w:rsidRPr="00520587" w:rsidRDefault="00F23D5C" w:rsidP="00E725F8">
            <w:pPr>
              <w:rPr>
                <w:rFonts w:ascii="Garamond" w:hAnsi="Garamond"/>
                <w:b/>
                <w:bCs/>
                <w:color w:val="000000" w:themeColor="text1"/>
                <w:sz w:val="18"/>
                <w:szCs w:val="18"/>
              </w:rPr>
            </w:pPr>
            <w:r w:rsidRPr="00520587">
              <w:rPr>
                <w:rFonts w:ascii="Garamond" w:hAnsi="Garamond"/>
                <w:color w:val="000000" w:themeColor="text1"/>
                <w:sz w:val="18"/>
                <w:szCs w:val="18"/>
              </w:rPr>
              <w:t xml:space="preserve">No agency other than the Bangladesh Competition Commission has been empowered to investigate by the Act. </w:t>
            </w:r>
            <w:r w:rsidRPr="00520587">
              <w:rPr>
                <w:rFonts w:ascii="Garamond" w:hAnsi="Garamond"/>
                <w:i/>
                <w:iCs/>
                <w:color w:val="000000" w:themeColor="text1"/>
                <w:sz w:val="18"/>
                <w:szCs w:val="18"/>
              </w:rPr>
              <w:t>See</w:t>
            </w:r>
            <w:r w:rsidRPr="00520587">
              <w:rPr>
                <w:rFonts w:ascii="Garamond" w:hAnsi="Garamond"/>
                <w:color w:val="000000" w:themeColor="text1"/>
                <w:sz w:val="18"/>
                <w:szCs w:val="18"/>
              </w:rPr>
              <w:t xml:space="preserve"> Chapter II &amp; IV of the Competition Act, 2012</w:t>
            </w:r>
            <w:r w:rsidR="00122690" w:rsidRPr="00520587">
              <w:rPr>
                <w:rFonts w:ascii="Garamond" w:hAnsi="Garamond"/>
                <w:color w:val="000000" w:themeColor="text1"/>
                <w:sz w:val="18"/>
                <w:szCs w:val="18"/>
              </w:rPr>
              <w:t xml:space="preserve">. </w:t>
            </w:r>
            <w:r w:rsidRPr="00520587">
              <w:rPr>
                <w:rFonts w:ascii="Garamond" w:hAnsi="Garamond"/>
                <w:color w:val="000000" w:themeColor="text1"/>
                <w:sz w:val="18"/>
                <w:szCs w:val="18"/>
              </w:rPr>
              <w:t xml:space="preserve"> </w:t>
            </w:r>
          </w:p>
        </w:tc>
      </w:tr>
      <w:tr w:rsidR="00520587" w:rsidRPr="00520587" w14:paraId="5294BCCE" w14:textId="77777777" w:rsidTr="002A159E">
        <w:trPr>
          <w:trHeight w:val="1115"/>
        </w:trPr>
        <w:tc>
          <w:tcPr>
            <w:tcW w:w="3775" w:type="dxa"/>
            <w:vMerge w:val="restart"/>
            <w:vAlign w:val="center"/>
          </w:tcPr>
          <w:p w14:paraId="4F066310" w14:textId="6B9AC577" w:rsidR="00344743" w:rsidRPr="00520587" w:rsidRDefault="00344743" w:rsidP="00BA5A7C">
            <w:pPr>
              <w:jc w:val="center"/>
              <w:rPr>
                <w:rFonts w:ascii="Garamond" w:hAnsi="Garamond"/>
                <w:color w:val="000000" w:themeColor="text1"/>
                <w:sz w:val="18"/>
                <w:szCs w:val="18"/>
              </w:rPr>
            </w:pPr>
            <w:r w:rsidRPr="00520587">
              <w:rPr>
                <w:rFonts w:ascii="Garamond" w:hAnsi="Garamond"/>
                <w:color w:val="000000" w:themeColor="text1"/>
                <w:sz w:val="18"/>
                <w:szCs w:val="18"/>
              </w:rPr>
              <w:t>Are disputes presented for decision to judicial authorities?</w:t>
            </w:r>
          </w:p>
        </w:tc>
        <w:tc>
          <w:tcPr>
            <w:tcW w:w="630" w:type="dxa"/>
            <w:vMerge w:val="restart"/>
            <w:vAlign w:val="center"/>
          </w:tcPr>
          <w:p w14:paraId="1690CD3C" w14:textId="469DDCE2" w:rsidR="00344743" w:rsidRPr="00520587" w:rsidRDefault="00344743" w:rsidP="00BA5A7C">
            <w:pPr>
              <w:jc w:val="center"/>
              <w:rPr>
                <w:rFonts w:ascii="Garamond" w:hAnsi="Garamond"/>
                <w:b/>
                <w:bCs/>
                <w:color w:val="000000" w:themeColor="text1"/>
                <w:sz w:val="18"/>
                <w:szCs w:val="18"/>
              </w:rPr>
            </w:pPr>
            <w:r w:rsidRPr="00520587">
              <w:rPr>
                <w:rFonts w:ascii="Garamond" w:hAnsi="Garamond"/>
                <w:b/>
                <w:bCs/>
                <w:color w:val="000000" w:themeColor="text1"/>
                <w:sz w:val="18"/>
                <w:szCs w:val="18"/>
              </w:rPr>
              <w:t>No</w:t>
            </w:r>
          </w:p>
        </w:tc>
        <w:tc>
          <w:tcPr>
            <w:tcW w:w="4945" w:type="dxa"/>
          </w:tcPr>
          <w:p w14:paraId="75F2BEEC" w14:textId="77777777" w:rsidR="00520587" w:rsidRPr="00520587" w:rsidRDefault="00520587" w:rsidP="00344743">
            <w:pPr>
              <w:rPr>
                <w:rFonts w:ascii="Garamond" w:eastAsia="Garamond" w:hAnsi="Garamond"/>
                <w:color w:val="000000" w:themeColor="text1"/>
                <w:sz w:val="18"/>
                <w:szCs w:val="18"/>
                <w:highlight w:val="green"/>
              </w:rPr>
            </w:pPr>
          </w:p>
          <w:p w14:paraId="3D064497" w14:textId="77777777" w:rsidR="00344743" w:rsidRPr="00520587" w:rsidRDefault="006752B0" w:rsidP="00344743">
            <w:pPr>
              <w:rPr>
                <w:rFonts w:ascii="Garamond" w:eastAsia="Garamond" w:hAnsi="Garamond"/>
                <w:i/>
                <w:color w:val="000000" w:themeColor="text1"/>
                <w:sz w:val="18"/>
                <w:szCs w:val="18"/>
              </w:rPr>
            </w:pPr>
            <w:r w:rsidRPr="00520587">
              <w:rPr>
                <w:rFonts w:ascii="Garamond" w:eastAsia="Garamond" w:hAnsi="Garamond"/>
                <w:i/>
                <w:color w:val="000000" w:themeColor="text1"/>
                <w:sz w:val="18"/>
                <w:szCs w:val="18"/>
              </w:rPr>
              <w:t>[If the answer to your question is “yes”, please introduce the name of the judiciary authorities that are involved and their role until the final decision in the process is achieved; exclude from this question judiciary authorities whose role in the process is the judicial review of administrative decisions]</w:t>
            </w:r>
          </w:p>
          <w:p w14:paraId="431332E8" w14:textId="7C93613C" w:rsidR="00520587" w:rsidRPr="00520587" w:rsidRDefault="00520587" w:rsidP="00344743">
            <w:pPr>
              <w:rPr>
                <w:rFonts w:ascii="Garamond" w:hAnsi="Garamond"/>
                <w:b/>
                <w:bCs/>
                <w:color w:val="000000" w:themeColor="text1"/>
                <w:sz w:val="18"/>
                <w:szCs w:val="18"/>
                <w:highlight w:val="green"/>
              </w:rPr>
            </w:pPr>
          </w:p>
        </w:tc>
      </w:tr>
      <w:tr w:rsidR="00520587" w:rsidRPr="00520587" w14:paraId="485C1BB7" w14:textId="77777777" w:rsidTr="00592093">
        <w:trPr>
          <w:trHeight w:val="3018"/>
        </w:trPr>
        <w:tc>
          <w:tcPr>
            <w:tcW w:w="3775" w:type="dxa"/>
            <w:vMerge/>
            <w:vAlign w:val="center"/>
          </w:tcPr>
          <w:p w14:paraId="1C234FA5" w14:textId="77777777" w:rsidR="00344743" w:rsidRPr="00520587" w:rsidRDefault="00344743" w:rsidP="00BA5A7C">
            <w:pPr>
              <w:jc w:val="center"/>
              <w:rPr>
                <w:rFonts w:ascii="Garamond" w:hAnsi="Garamond"/>
                <w:color w:val="000000" w:themeColor="text1"/>
                <w:sz w:val="18"/>
                <w:szCs w:val="18"/>
              </w:rPr>
            </w:pPr>
          </w:p>
        </w:tc>
        <w:tc>
          <w:tcPr>
            <w:tcW w:w="630" w:type="dxa"/>
            <w:vMerge/>
            <w:vAlign w:val="center"/>
          </w:tcPr>
          <w:p w14:paraId="11B33EB1" w14:textId="77777777" w:rsidR="00344743" w:rsidRPr="00520587" w:rsidRDefault="00344743" w:rsidP="00BA5A7C">
            <w:pPr>
              <w:jc w:val="center"/>
              <w:rPr>
                <w:rFonts w:ascii="Garamond" w:hAnsi="Garamond"/>
                <w:b/>
                <w:bCs/>
                <w:color w:val="000000" w:themeColor="text1"/>
                <w:sz w:val="18"/>
                <w:szCs w:val="18"/>
              </w:rPr>
            </w:pPr>
          </w:p>
        </w:tc>
        <w:tc>
          <w:tcPr>
            <w:tcW w:w="4945" w:type="dxa"/>
          </w:tcPr>
          <w:p w14:paraId="4ED6FA22" w14:textId="77777777" w:rsidR="00344743" w:rsidRPr="00520587" w:rsidRDefault="00344743" w:rsidP="00C12E39">
            <w:pPr>
              <w:rPr>
                <w:rFonts w:ascii="Garamond" w:hAnsi="Garamond"/>
                <w:b/>
                <w:bCs/>
                <w:color w:val="000000" w:themeColor="text1"/>
                <w:sz w:val="18"/>
                <w:szCs w:val="18"/>
              </w:rPr>
            </w:pPr>
            <w:r w:rsidRPr="00520587">
              <w:rPr>
                <w:rFonts w:ascii="Garamond" w:hAnsi="Garamond"/>
                <w:b/>
                <w:bCs/>
                <w:color w:val="000000" w:themeColor="text1"/>
                <w:sz w:val="18"/>
                <w:szCs w:val="18"/>
              </w:rPr>
              <w:t>Exceptions:</w:t>
            </w:r>
          </w:p>
          <w:p w14:paraId="2846BCA0" w14:textId="1F59C84A" w:rsidR="00344743" w:rsidRPr="00520587" w:rsidRDefault="00187C97" w:rsidP="00187C97">
            <w:pPr>
              <w:rPr>
                <w:rStyle w:val="hgkelc"/>
                <w:rFonts w:ascii="Garamond" w:hAnsi="Garamond"/>
                <w:b/>
                <w:bCs/>
                <w:color w:val="000000" w:themeColor="text1"/>
                <w:sz w:val="18"/>
                <w:szCs w:val="18"/>
              </w:rPr>
            </w:pPr>
            <w:r w:rsidRPr="00520587">
              <w:rPr>
                <w:rFonts w:ascii="Garamond" w:hAnsi="Garamond"/>
                <w:color w:val="000000" w:themeColor="text1"/>
                <w:sz w:val="18"/>
                <w:szCs w:val="18"/>
              </w:rPr>
              <w:tab/>
            </w:r>
            <w:r w:rsidR="00344743" w:rsidRPr="00520587">
              <w:rPr>
                <w:rFonts w:ascii="Garamond" w:hAnsi="Garamond"/>
                <w:color w:val="000000" w:themeColor="text1"/>
                <w:sz w:val="18"/>
                <w:szCs w:val="18"/>
              </w:rPr>
              <w:t xml:space="preserve">The general norm is to present  all competition disputes to the Commission but the disputes that are the subject matter of a specific sector regulator can be presented to the regulating authority of that sector. </w:t>
            </w:r>
          </w:p>
          <w:p w14:paraId="3CBF0A89" w14:textId="3A264111" w:rsidR="00344743" w:rsidRPr="00520587" w:rsidRDefault="00187C97" w:rsidP="00187C97">
            <w:pPr>
              <w:rPr>
                <w:rFonts w:ascii="Garamond" w:hAnsi="Garamond"/>
                <w:b/>
                <w:bCs/>
                <w:color w:val="000000" w:themeColor="text1"/>
                <w:sz w:val="18"/>
                <w:szCs w:val="18"/>
              </w:rPr>
            </w:pPr>
            <w:r w:rsidRPr="00520587">
              <w:rPr>
                <w:rFonts w:ascii="Garamond" w:hAnsi="Garamond"/>
                <w:color w:val="000000" w:themeColor="text1"/>
                <w:sz w:val="18"/>
                <w:szCs w:val="18"/>
              </w:rPr>
              <w:tab/>
            </w:r>
            <w:r w:rsidR="00344743" w:rsidRPr="00520587">
              <w:rPr>
                <w:rFonts w:ascii="Garamond" w:hAnsi="Garamond"/>
                <w:color w:val="000000" w:themeColor="text1"/>
                <w:sz w:val="18"/>
                <w:szCs w:val="18"/>
              </w:rPr>
              <w:t xml:space="preserve">A dispute can only be presented to a judicial authority (Court of First-Class Magistrate or Metropolitan Magistrate)  when a person or an entity commits an offence (contravenes an order of the Commission), and the Commission filed a complaint. </w:t>
            </w:r>
            <w:r w:rsidR="00344743" w:rsidRPr="00520587">
              <w:rPr>
                <w:rFonts w:ascii="Garamond" w:hAnsi="Garamond"/>
                <w:i/>
                <w:iCs/>
                <w:color w:val="000000" w:themeColor="text1"/>
                <w:sz w:val="18"/>
                <w:szCs w:val="18"/>
              </w:rPr>
              <w:t>See</w:t>
            </w:r>
            <w:r w:rsidR="00344743" w:rsidRPr="00520587">
              <w:rPr>
                <w:rFonts w:ascii="Garamond" w:hAnsi="Garamond"/>
                <w:color w:val="000000" w:themeColor="text1"/>
                <w:sz w:val="18"/>
                <w:szCs w:val="18"/>
              </w:rPr>
              <w:t xml:space="preserve"> </w:t>
            </w:r>
            <w:r w:rsidR="00344743" w:rsidRPr="00520587">
              <w:rPr>
                <w:rStyle w:val="hgkelc"/>
                <w:rFonts w:ascii="Garamond" w:hAnsi="Garamond"/>
                <w:color w:val="000000" w:themeColor="text1"/>
                <w:sz w:val="18"/>
                <w:szCs w:val="18"/>
                <w:lang w:val="en"/>
              </w:rPr>
              <w:t xml:space="preserve">§§24-25, the Competition Act, 2012. </w:t>
            </w:r>
          </w:p>
          <w:p w14:paraId="2478C64C" w14:textId="71AFEB84" w:rsidR="00344743" w:rsidRPr="00520587" w:rsidRDefault="00187C97" w:rsidP="00187C97">
            <w:pPr>
              <w:rPr>
                <w:rFonts w:ascii="Garamond" w:hAnsi="Garamond"/>
                <w:b/>
                <w:bCs/>
                <w:color w:val="000000" w:themeColor="text1"/>
                <w:sz w:val="18"/>
                <w:szCs w:val="18"/>
              </w:rPr>
            </w:pPr>
            <w:r w:rsidRPr="00520587">
              <w:rPr>
                <w:rFonts w:ascii="Garamond" w:hAnsi="Garamond"/>
                <w:color w:val="000000" w:themeColor="text1"/>
                <w:sz w:val="18"/>
                <w:szCs w:val="18"/>
              </w:rPr>
              <w:tab/>
            </w:r>
            <w:r w:rsidR="00344743" w:rsidRPr="00520587">
              <w:rPr>
                <w:rFonts w:ascii="Garamond" w:hAnsi="Garamond"/>
                <w:color w:val="000000" w:themeColor="text1"/>
                <w:sz w:val="18"/>
                <w:szCs w:val="18"/>
              </w:rPr>
              <w:t xml:space="preserve">Any party aggrieved by the decision of Govt. in an appeal may approach the High Court Division of the Supreme Court of Bangladesh. </w:t>
            </w:r>
            <w:r w:rsidR="00344743" w:rsidRPr="00520587">
              <w:rPr>
                <w:rFonts w:ascii="Garamond" w:hAnsi="Garamond"/>
                <w:i/>
                <w:iCs/>
                <w:color w:val="000000" w:themeColor="text1"/>
                <w:sz w:val="18"/>
                <w:szCs w:val="18"/>
              </w:rPr>
              <w:t>See</w:t>
            </w:r>
            <w:r w:rsidR="00344743" w:rsidRPr="00520587">
              <w:rPr>
                <w:rFonts w:ascii="Garamond" w:hAnsi="Garamond"/>
                <w:color w:val="000000" w:themeColor="text1"/>
                <w:sz w:val="18"/>
                <w:szCs w:val="18"/>
              </w:rPr>
              <w:t xml:space="preserve"> Article 102 of the Constitution of the People’s Republic Bangladesh. </w:t>
            </w:r>
          </w:p>
        </w:tc>
      </w:tr>
      <w:tr w:rsidR="00520587" w:rsidRPr="00520587" w14:paraId="00CC1063" w14:textId="77777777" w:rsidTr="005A78E0">
        <w:trPr>
          <w:trHeight w:val="258"/>
        </w:trPr>
        <w:tc>
          <w:tcPr>
            <w:tcW w:w="3775" w:type="dxa"/>
            <w:vMerge w:val="restart"/>
            <w:vAlign w:val="center"/>
          </w:tcPr>
          <w:p w14:paraId="2E97A8D5" w14:textId="19C6D5A2" w:rsidR="005A78E0" w:rsidRPr="00520587" w:rsidRDefault="005A78E0" w:rsidP="00A96A88">
            <w:pPr>
              <w:jc w:val="center"/>
              <w:rPr>
                <w:rFonts w:ascii="Garamond" w:hAnsi="Garamond"/>
                <w:color w:val="000000" w:themeColor="text1"/>
                <w:sz w:val="18"/>
                <w:szCs w:val="18"/>
              </w:rPr>
            </w:pPr>
            <w:r w:rsidRPr="00520587">
              <w:rPr>
                <w:rFonts w:ascii="Garamond" w:hAnsi="Garamond"/>
                <w:color w:val="000000" w:themeColor="text1"/>
                <w:sz w:val="18"/>
                <w:szCs w:val="18"/>
              </w:rPr>
              <w:t>Do private rights of action to challenge competition law infringement exist in your jurisdiction?</w:t>
            </w:r>
          </w:p>
        </w:tc>
        <w:tc>
          <w:tcPr>
            <w:tcW w:w="630" w:type="dxa"/>
            <w:vMerge w:val="restart"/>
            <w:vAlign w:val="center"/>
          </w:tcPr>
          <w:p w14:paraId="17D4088A" w14:textId="12EE0651" w:rsidR="005A78E0" w:rsidRPr="00520587" w:rsidRDefault="005A78E0" w:rsidP="00A96A88">
            <w:pPr>
              <w:jc w:val="center"/>
              <w:rPr>
                <w:rFonts w:ascii="Garamond" w:hAnsi="Garamond"/>
                <w:color w:val="000000" w:themeColor="text1"/>
                <w:sz w:val="18"/>
                <w:szCs w:val="18"/>
              </w:rPr>
            </w:pPr>
            <w:r w:rsidRPr="00520587">
              <w:rPr>
                <w:rFonts w:ascii="Garamond" w:hAnsi="Garamond"/>
                <w:b/>
                <w:bCs/>
                <w:color w:val="000000" w:themeColor="text1"/>
                <w:sz w:val="18"/>
                <w:szCs w:val="18"/>
              </w:rPr>
              <w:t>No</w:t>
            </w:r>
          </w:p>
        </w:tc>
        <w:tc>
          <w:tcPr>
            <w:tcW w:w="4945" w:type="dxa"/>
          </w:tcPr>
          <w:p w14:paraId="1AD2E673" w14:textId="77777777" w:rsidR="00520587" w:rsidRPr="00520587" w:rsidRDefault="00520587" w:rsidP="005A78E0">
            <w:pPr>
              <w:rPr>
                <w:rFonts w:ascii="Garamond" w:eastAsia="Garamond" w:hAnsi="Garamond"/>
                <w:color w:val="000000" w:themeColor="text1"/>
                <w:sz w:val="18"/>
                <w:szCs w:val="18"/>
                <w:highlight w:val="green"/>
              </w:rPr>
            </w:pPr>
          </w:p>
          <w:p w14:paraId="4336EAE6" w14:textId="77777777" w:rsidR="005A78E0" w:rsidRPr="00520587" w:rsidRDefault="00520587" w:rsidP="005A78E0">
            <w:pPr>
              <w:rPr>
                <w:rFonts w:ascii="Garamond" w:eastAsia="Garamond" w:hAnsi="Garamond"/>
                <w:i/>
                <w:color w:val="000000" w:themeColor="text1"/>
                <w:sz w:val="18"/>
                <w:szCs w:val="18"/>
              </w:rPr>
            </w:pPr>
            <w:r w:rsidRPr="00520587">
              <w:rPr>
                <w:rFonts w:ascii="Garamond" w:eastAsia="Garamond" w:hAnsi="Garamond"/>
                <w:i/>
                <w:color w:val="000000" w:themeColor="text1"/>
                <w:sz w:val="18"/>
                <w:szCs w:val="18"/>
              </w:rPr>
              <w:t>[</w:t>
            </w:r>
            <w:r w:rsidR="005A78E0" w:rsidRPr="00520587">
              <w:rPr>
                <w:rFonts w:ascii="Garamond" w:eastAsia="Garamond" w:hAnsi="Garamond"/>
                <w:i/>
                <w:color w:val="000000" w:themeColor="text1"/>
                <w:sz w:val="18"/>
                <w:szCs w:val="18"/>
              </w:rPr>
              <w:t xml:space="preserve">If the answer is “yes”, please briefly </w:t>
            </w:r>
            <w:proofErr w:type="gramStart"/>
            <w:r w:rsidR="005A78E0" w:rsidRPr="00520587">
              <w:rPr>
                <w:rFonts w:ascii="Garamond" w:eastAsia="Garamond" w:hAnsi="Garamond"/>
                <w:i/>
                <w:color w:val="000000" w:themeColor="text1"/>
                <w:sz w:val="18"/>
                <w:szCs w:val="18"/>
              </w:rPr>
              <w:t>explain</w:t>
            </w:r>
            <w:proofErr w:type="gramEnd"/>
            <w:r w:rsidR="005A78E0" w:rsidRPr="00520587">
              <w:rPr>
                <w:rFonts w:ascii="Garamond" w:eastAsia="Garamond" w:hAnsi="Garamond"/>
                <w:i/>
                <w:color w:val="000000" w:themeColor="text1"/>
                <w:sz w:val="18"/>
                <w:szCs w:val="18"/>
              </w:rPr>
              <w:t xml:space="preserve"> the process and who are the persons entitled to exercise those rights; mention the relevant provisions]</w:t>
            </w:r>
          </w:p>
          <w:p w14:paraId="0B34B9E4" w14:textId="27DF7923" w:rsidR="00520587" w:rsidRPr="00520587" w:rsidRDefault="00520587" w:rsidP="005A78E0">
            <w:pPr>
              <w:rPr>
                <w:rFonts w:ascii="Garamond" w:hAnsi="Garamond"/>
                <w:color w:val="000000" w:themeColor="text1"/>
                <w:sz w:val="18"/>
                <w:szCs w:val="18"/>
              </w:rPr>
            </w:pPr>
          </w:p>
        </w:tc>
      </w:tr>
      <w:tr w:rsidR="00520587" w:rsidRPr="00520587" w14:paraId="2A5D1AC2" w14:textId="77777777" w:rsidTr="00A96A88">
        <w:trPr>
          <w:trHeight w:val="2225"/>
        </w:trPr>
        <w:tc>
          <w:tcPr>
            <w:tcW w:w="3775" w:type="dxa"/>
            <w:vMerge/>
            <w:vAlign w:val="center"/>
          </w:tcPr>
          <w:p w14:paraId="41FFEB65" w14:textId="77777777" w:rsidR="005A78E0" w:rsidRPr="00520587" w:rsidRDefault="005A78E0" w:rsidP="00A96A88">
            <w:pPr>
              <w:jc w:val="center"/>
              <w:rPr>
                <w:rFonts w:ascii="Garamond" w:hAnsi="Garamond"/>
                <w:color w:val="000000" w:themeColor="text1"/>
                <w:sz w:val="18"/>
                <w:szCs w:val="18"/>
              </w:rPr>
            </w:pPr>
          </w:p>
        </w:tc>
        <w:tc>
          <w:tcPr>
            <w:tcW w:w="630" w:type="dxa"/>
            <w:vMerge/>
            <w:vAlign w:val="center"/>
          </w:tcPr>
          <w:p w14:paraId="11F6692C" w14:textId="77777777" w:rsidR="005A78E0" w:rsidRPr="00520587" w:rsidRDefault="005A78E0" w:rsidP="00A96A88">
            <w:pPr>
              <w:jc w:val="center"/>
              <w:rPr>
                <w:rFonts w:ascii="Garamond" w:hAnsi="Garamond"/>
                <w:b/>
                <w:bCs/>
                <w:color w:val="000000" w:themeColor="text1"/>
                <w:sz w:val="18"/>
                <w:szCs w:val="18"/>
              </w:rPr>
            </w:pPr>
          </w:p>
        </w:tc>
        <w:tc>
          <w:tcPr>
            <w:tcW w:w="4945" w:type="dxa"/>
          </w:tcPr>
          <w:p w14:paraId="3AD32779" w14:textId="77777777" w:rsidR="005A78E0" w:rsidRPr="00520587" w:rsidRDefault="005A78E0" w:rsidP="007C4481">
            <w:pPr>
              <w:pStyle w:val="ListParagraph"/>
              <w:numPr>
                <w:ilvl w:val="0"/>
                <w:numId w:val="4"/>
              </w:numPr>
              <w:rPr>
                <w:rFonts w:ascii="Garamond" w:hAnsi="Garamond"/>
                <w:color w:val="000000" w:themeColor="text1"/>
                <w:sz w:val="18"/>
                <w:szCs w:val="18"/>
              </w:rPr>
            </w:pPr>
            <w:r w:rsidRPr="00520587">
              <w:rPr>
                <w:rFonts w:ascii="Garamond" w:hAnsi="Garamond"/>
                <w:color w:val="000000" w:themeColor="text1"/>
                <w:sz w:val="18"/>
                <w:szCs w:val="18"/>
              </w:rPr>
              <w:t>No option to bring private actions under the Competition Act, 2012. The only authority that can act against prohibited practices is the Commission. The Commission can act by its own motion or upon the receipt of a complaint. If the Commission does not act upon a request, the applicant can bring a writ petition before the High Court Division forcing the Commission to respect its statutory obligations. See  Art. 102 of the Constitution.</w:t>
            </w:r>
          </w:p>
          <w:p w14:paraId="352D6A8B" w14:textId="77777777" w:rsidR="005A78E0" w:rsidRPr="00520587" w:rsidRDefault="005A78E0" w:rsidP="007C4481">
            <w:pPr>
              <w:pStyle w:val="ListParagraph"/>
              <w:numPr>
                <w:ilvl w:val="0"/>
                <w:numId w:val="4"/>
              </w:numPr>
              <w:rPr>
                <w:rFonts w:ascii="Garamond" w:hAnsi="Garamond"/>
                <w:color w:val="000000" w:themeColor="text1"/>
                <w:sz w:val="18"/>
                <w:szCs w:val="18"/>
              </w:rPr>
            </w:pPr>
            <w:r w:rsidRPr="00520587">
              <w:rPr>
                <w:rFonts w:ascii="Garamond" w:hAnsi="Garamond"/>
                <w:color w:val="000000" w:themeColor="text1"/>
                <w:sz w:val="18"/>
                <w:szCs w:val="18"/>
              </w:rPr>
              <w:t>However, if a personal injury is caused by anti-competitive practices, the injured can bring a private suit against the entity.</w:t>
            </w:r>
          </w:p>
        </w:tc>
      </w:tr>
    </w:tbl>
    <w:p w14:paraId="37612BED" w14:textId="77777777" w:rsidR="004C7361" w:rsidRPr="00520587" w:rsidRDefault="004C7361" w:rsidP="00CA420F">
      <w:pPr>
        <w:spacing w:line="240" w:lineRule="auto"/>
        <w:rPr>
          <w:rFonts w:ascii="Garamond" w:hAnsi="Garamond"/>
          <w:color w:val="000000" w:themeColor="text1"/>
          <w:sz w:val="18"/>
          <w:szCs w:val="18"/>
        </w:rPr>
      </w:pPr>
    </w:p>
    <w:p w14:paraId="7A67E695" w14:textId="77777777" w:rsidR="006A6D3A" w:rsidRPr="00520587" w:rsidRDefault="006A6D3A" w:rsidP="00CA420F">
      <w:pPr>
        <w:spacing w:line="240" w:lineRule="auto"/>
        <w:rPr>
          <w:rFonts w:ascii="Garamond" w:hAnsi="Garamond"/>
          <w:color w:val="000000" w:themeColor="text1"/>
          <w:sz w:val="18"/>
          <w:szCs w:val="18"/>
        </w:rPr>
      </w:pPr>
    </w:p>
    <w:p w14:paraId="1E363ABC" w14:textId="77777777" w:rsidR="006A6D3A" w:rsidRPr="00520587" w:rsidRDefault="006A6D3A" w:rsidP="00CA420F">
      <w:pPr>
        <w:spacing w:line="240" w:lineRule="auto"/>
        <w:rPr>
          <w:rFonts w:ascii="Garamond" w:hAnsi="Garamond"/>
          <w:color w:val="000000" w:themeColor="text1"/>
          <w:sz w:val="18"/>
          <w:szCs w:val="18"/>
        </w:rPr>
      </w:pPr>
    </w:p>
    <w:p w14:paraId="12B97CA3" w14:textId="77777777" w:rsidR="006A6D3A" w:rsidRPr="00520587" w:rsidRDefault="006A6D3A" w:rsidP="00CA420F">
      <w:pPr>
        <w:spacing w:line="240" w:lineRule="auto"/>
        <w:rPr>
          <w:rFonts w:ascii="Garamond" w:hAnsi="Garamond"/>
          <w:color w:val="000000" w:themeColor="text1"/>
          <w:sz w:val="18"/>
          <w:szCs w:val="18"/>
        </w:rPr>
      </w:pPr>
    </w:p>
    <w:p w14:paraId="24CB7A5E" w14:textId="77777777" w:rsidR="006A6D3A" w:rsidRPr="00520587" w:rsidRDefault="006A6D3A" w:rsidP="00CA420F">
      <w:pPr>
        <w:spacing w:line="240" w:lineRule="auto"/>
        <w:rPr>
          <w:rFonts w:ascii="Garamond" w:hAnsi="Garamond"/>
          <w:color w:val="000000" w:themeColor="text1"/>
          <w:sz w:val="18"/>
          <w:szCs w:val="18"/>
        </w:rPr>
      </w:pPr>
    </w:p>
    <w:p w14:paraId="14AC6B35" w14:textId="77777777" w:rsidR="006A6D3A" w:rsidRPr="00520587" w:rsidRDefault="006A6D3A" w:rsidP="00CA420F">
      <w:pPr>
        <w:spacing w:line="240" w:lineRule="auto"/>
        <w:rPr>
          <w:rFonts w:ascii="Garamond" w:hAnsi="Garamond"/>
          <w:color w:val="000000" w:themeColor="text1"/>
          <w:sz w:val="18"/>
          <w:szCs w:val="18"/>
        </w:rPr>
      </w:pPr>
    </w:p>
    <w:p w14:paraId="60001057" w14:textId="77777777" w:rsidR="006A6D3A" w:rsidRPr="00520587" w:rsidRDefault="006A6D3A" w:rsidP="00CA420F">
      <w:pPr>
        <w:spacing w:line="240" w:lineRule="auto"/>
        <w:rPr>
          <w:rFonts w:ascii="Garamond" w:hAnsi="Garamond"/>
          <w:color w:val="000000" w:themeColor="text1"/>
          <w:sz w:val="18"/>
          <w:szCs w:val="18"/>
        </w:rPr>
      </w:pPr>
    </w:p>
    <w:p w14:paraId="2BF935B4" w14:textId="77777777" w:rsidR="006A6D3A" w:rsidRPr="00520587" w:rsidRDefault="006A6D3A" w:rsidP="00CA420F">
      <w:pPr>
        <w:spacing w:line="240" w:lineRule="auto"/>
        <w:rPr>
          <w:rFonts w:ascii="Garamond" w:hAnsi="Garamond"/>
          <w:color w:val="000000" w:themeColor="text1"/>
          <w:sz w:val="18"/>
          <w:szCs w:val="18"/>
        </w:rPr>
      </w:pPr>
    </w:p>
    <w:p w14:paraId="6AD124F9" w14:textId="77777777" w:rsidR="006A6D3A" w:rsidRPr="00520587" w:rsidRDefault="006A6D3A" w:rsidP="00CA420F">
      <w:pPr>
        <w:spacing w:line="240" w:lineRule="auto"/>
        <w:rPr>
          <w:rFonts w:ascii="Garamond" w:hAnsi="Garamond"/>
          <w:color w:val="000000" w:themeColor="text1"/>
          <w:sz w:val="18"/>
          <w:szCs w:val="18"/>
        </w:rPr>
      </w:pPr>
    </w:p>
    <w:tbl>
      <w:tblPr>
        <w:tblStyle w:val="TableGrid"/>
        <w:tblW w:w="9586" w:type="dxa"/>
        <w:tblLayout w:type="fixed"/>
        <w:tblLook w:val="04A0" w:firstRow="1" w:lastRow="0" w:firstColumn="1" w:lastColumn="0" w:noHBand="0" w:noVBand="1"/>
      </w:tblPr>
      <w:tblGrid>
        <w:gridCol w:w="2875"/>
        <w:gridCol w:w="1440"/>
        <w:gridCol w:w="630"/>
        <w:gridCol w:w="2970"/>
        <w:gridCol w:w="1671"/>
      </w:tblGrid>
      <w:tr w:rsidR="00520587" w:rsidRPr="00520587" w14:paraId="1E40F0F7" w14:textId="77777777" w:rsidTr="0047056D">
        <w:tc>
          <w:tcPr>
            <w:tcW w:w="9586" w:type="dxa"/>
            <w:gridSpan w:val="5"/>
          </w:tcPr>
          <w:p w14:paraId="3813EBB1" w14:textId="77777777" w:rsidR="00BD235D" w:rsidRPr="00520587" w:rsidRDefault="000E7F04" w:rsidP="00CA420F">
            <w:pPr>
              <w:jc w:val="center"/>
              <w:rPr>
                <w:rFonts w:ascii="Garamond" w:hAnsi="Garamond"/>
                <w:b/>
                <w:bCs/>
                <w:smallCap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587">
              <w:rPr>
                <w:rFonts w:ascii="Garamond" w:hAnsi="Garamond"/>
                <w:b/>
                <w:bCs/>
                <w:smallCap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Bangladesh Competition Commission </w:t>
            </w:r>
          </w:p>
          <w:p w14:paraId="28B0B5F3" w14:textId="66ED48EF" w:rsidR="000E7F04" w:rsidRPr="00520587" w:rsidRDefault="000E7F04" w:rsidP="00CA420F">
            <w:pPr>
              <w:jc w:val="center"/>
              <w:rPr>
                <w:rFonts w:ascii="Garamond" w:hAnsi="Garamond"/>
                <w:smallCaps/>
                <w:color w:val="000000" w:themeColor="text1"/>
              </w:rPr>
            </w:pPr>
            <w:r w:rsidRPr="00520587">
              <w:rPr>
                <w:rFonts w:ascii="Garamond" w:hAnsi="Garamond"/>
                <w:b/>
                <w:bCs/>
                <w:smallCap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(BCC)</w:t>
            </w:r>
          </w:p>
        </w:tc>
      </w:tr>
      <w:tr w:rsidR="00520587" w:rsidRPr="00520587" w14:paraId="097EEA40" w14:textId="77777777" w:rsidTr="0047056D">
        <w:tc>
          <w:tcPr>
            <w:tcW w:w="9586" w:type="dxa"/>
            <w:gridSpan w:val="5"/>
          </w:tcPr>
          <w:p w14:paraId="3D143139" w14:textId="77777777" w:rsidR="00E723E9" w:rsidRPr="00520587" w:rsidRDefault="00E723E9" w:rsidP="00CA420F">
            <w:pPr>
              <w:jc w:val="center"/>
              <w:rPr>
                <w:rFonts w:ascii="Garamond" w:hAnsi="Garamond"/>
                <w:b/>
                <w:bCs/>
                <w:smallCap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587">
              <w:rPr>
                <w:rFonts w:ascii="Garamond" w:hAnsi="Garamond"/>
                <w:b/>
                <w:bCs/>
                <w:smallCap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Status of </w:t>
            </w:r>
          </w:p>
          <w:p w14:paraId="33E23E5B" w14:textId="3BD82FEE" w:rsidR="001840D2" w:rsidRPr="00520587" w:rsidRDefault="001840D2" w:rsidP="00CA420F">
            <w:pPr>
              <w:jc w:val="center"/>
              <w:rPr>
                <w:rFonts w:ascii="Garamond" w:hAnsi="Garamond"/>
                <w:b/>
                <w:bCs/>
                <w:smallCaps/>
                <w:color w:val="000000" w:themeColor="text1"/>
                <w:sz w:val="26"/>
                <w:szCs w:val="2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520587">
              <w:rPr>
                <w:rFonts w:ascii="Garamond" w:hAnsi="Garamond"/>
                <w:b/>
                <w:bCs/>
                <w:smallCaps/>
                <w:color w:val="000000" w:themeColor="text1"/>
                <w:sz w:val="22"/>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Bangladesh Competition Commission</w:t>
            </w:r>
          </w:p>
        </w:tc>
      </w:tr>
      <w:tr w:rsidR="00520587" w:rsidRPr="00520587" w14:paraId="056AD7EA" w14:textId="16B7BE8D" w:rsidTr="009E560B">
        <w:trPr>
          <w:trHeight w:val="359"/>
        </w:trPr>
        <w:tc>
          <w:tcPr>
            <w:tcW w:w="2875" w:type="dxa"/>
            <w:vAlign w:val="center"/>
          </w:tcPr>
          <w:p w14:paraId="1FD78FC2" w14:textId="5887A1DD" w:rsidR="007020DE" w:rsidRPr="00520587" w:rsidRDefault="007020DE" w:rsidP="00AF332F">
            <w:pPr>
              <w:jc w:val="center"/>
              <w:rPr>
                <w:rFonts w:ascii="Garamond" w:hAnsi="Garamond"/>
                <w:b/>
                <w:bCs/>
                <w:color w:val="000000" w:themeColor="text1"/>
                <w:sz w:val="18"/>
                <w:szCs w:val="18"/>
              </w:rPr>
            </w:pPr>
            <w:r w:rsidRPr="00520587">
              <w:rPr>
                <w:rFonts w:ascii="Garamond" w:hAnsi="Garamond"/>
                <w:b/>
                <w:bCs/>
                <w:color w:val="000000" w:themeColor="text1"/>
                <w:sz w:val="18"/>
                <w:szCs w:val="18"/>
              </w:rPr>
              <w:t>Accountability</w:t>
            </w:r>
          </w:p>
        </w:tc>
        <w:tc>
          <w:tcPr>
            <w:tcW w:w="1440" w:type="dxa"/>
            <w:vAlign w:val="center"/>
          </w:tcPr>
          <w:p w14:paraId="61DB32B6" w14:textId="5F8E7DC2" w:rsidR="007020DE" w:rsidRPr="00520587" w:rsidRDefault="007020DE" w:rsidP="00DA129D">
            <w:pPr>
              <w:jc w:val="center"/>
              <w:rPr>
                <w:rFonts w:ascii="Garamond" w:hAnsi="Garamond"/>
                <w:color w:val="000000" w:themeColor="text1"/>
                <w:sz w:val="18"/>
                <w:szCs w:val="18"/>
              </w:rPr>
            </w:pPr>
            <w:r w:rsidRPr="00520587">
              <w:rPr>
                <w:rFonts w:ascii="Garamond" w:eastAsia="Garamond" w:hAnsi="Garamond"/>
                <w:color w:val="000000" w:themeColor="text1"/>
                <w:sz w:val="16"/>
                <w:szCs w:val="16"/>
              </w:rPr>
              <w:t>Please, answer “Yes” in the boxes of this line if any of the duties on the right column apply to the authority, and “No” if they do not</w:t>
            </w:r>
            <w:r w:rsidRPr="00520587">
              <w:rPr>
                <w:rFonts w:ascii="Garamond" w:eastAsia="Garamond" w:hAnsi="Garamond" w:cs="Garamond"/>
                <w:color w:val="000000" w:themeColor="text1"/>
                <w:sz w:val="12"/>
                <w:szCs w:val="12"/>
              </w:rPr>
              <w:t>.</w:t>
            </w:r>
          </w:p>
        </w:tc>
        <w:tc>
          <w:tcPr>
            <w:tcW w:w="3600" w:type="dxa"/>
            <w:gridSpan w:val="2"/>
            <w:vAlign w:val="center"/>
          </w:tcPr>
          <w:p w14:paraId="2BB2CCE3" w14:textId="149AE59E" w:rsidR="007020DE" w:rsidRPr="00520587" w:rsidRDefault="007020DE" w:rsidP="00DA129D">
            <w:pPr>
              <w:jc w:val="center"/>
              <w:rPr>
                <w:rFonts w:ascii="Garamond" w:eastAsia="Gungsuh" w:hAnsi="Garamond"/>
                <w:color w:val="000000" w:themeColor="text1"/>
                <w:sz w:val="18"/>
                <w:szCs w:val="18"/>
              </w:rPr>
            </w:pPr>
            <w:r w:rsidRPr="00520587">
              <w:rPr>
                <w:rFonts w:ascii="Garamond" w:hAnsi="Garamond"/>
                <w:color w:val="000000" w:themeColor="text1"/>
                <w:sz w:val="18"/>
                <w:szCs w:val="18"/>
              </w:rPr>
              <w:t>Answer with X /</w:t>
            </w:r>
            <w:r w:rsidRPr="00520587">
              <w:rPr>
                <w:rFonts w:ascii="Garamond" w:eastAsia="Gungsuh" w:hAnsi="Garamond"/>
                <w:color w:val="000000" w:themeColor="text1"/>
                <w:sz w:val="18"/>
                <w:szCs w:val="18"/>
              </w:rPr>
              <w:t xml:space="preserve"> </w:t>
            </w:r>
            <w:r w:rsidRPr="00520587">
              <w:rPr>
                <w:rFonts w:ascii="Garamond" w:eastAsia="Gungsuh" w:hAnsi="Garamond"/>
                <w:b/>
                <w:bCs/>
                <w:color w:val="000000" w:themeColor="text1"/>
                <w:sz w:val="18"/>
                <w:szCs w:val="18"/>
              </w:rPr>
              <w:t>√</w:t>
            </w:r>
            <w:r w:rsidR="002E1AD4" w:rsidRPr="00520587">
              <w:rPr>
                <w:rFonts w:ascii="Garamond" w:eastAsia="Gungsuh" w:hAnsi="Garamond"/>
                <w:b/>
                <w:bCs/>
                <w:color w:val="000000" w:themeColor="text1"/>
                <w:sz w:val="18"/>
                <w:szCs w:val="18"/>
              </w:rPr>
              <w:t xml:space="preserve"> </w:t>
            </w:r>
            <w:r w:rsidRPr="00520587">
              <w:rPr>
                <w:rFonts w:ascii="Garamond" w:eastAsia="Gungsuh" w:hAnsi="Garamond"/>
                <w:color w:val="000000" w:themeColor="text1"/>
                <w:sz w:val="18"/>
                <w:szCs w:val="18"/>
              </w:rPr>
              <w:t>as it applies</w:t>
            </w:r>
          </w:p>
        </w:tc>
        <w:tc>
          <w:tcPr>
            <w:tcW w:w="1671" w:type="dxa"/>
            <w:vAlign w:val="center"/>
          </w:tcPr>
          <w:p w14:paraId="2215D801" w14:textId="2B5DA288" w:rsidR="007020DE" w:rsidRPr="00520587" w:rsidRDefault="00ED45A6" w:rsidP="00DA129D">
            <w:pPr>
              <w:jc w:val="center"/>
              <w:rPr>
                <w:rFonts w:ascii="Garamond" w:hAnsi="Garamond"/>
                <w:color w:val="000000" w:themeColor="text1"/>
                <w:sz w:val="16"/>
                <w:szCs w:val="16"/>
              </w:rPr>
            </w:pPr>
            <w:r w:rsidRPr="00520587">
              <w:rPr>
                <w:rFonts w:ascii="Garamond" w:eastAsia="Times New Roman" w:hAnsi="Garamond"/>
                <w:color w:val="000000" w:themeColor="text1"/>
                <w:sz w:val="16"/>
                <w:szCs w:val="16"/>
              </w:rPr>
              <w:t>Please, in the boxes of this line mention the relevant provisions in which the obligations are based.</w:t>
            </w:r>
          </w:p>
        </w:tc>
      </w:tr>
      <w:tr w:rsidR="00520587" w:rsidRPr="00520587" w14:paraId="1D7EF920" w14:textId="16758AD4" w:rsidTr="009E560B">
        <w:trPr>
          <w:trHeight w:val="323"/>
        </w:trPr>
        <w:tc>
          <w:tcPr>
            <w:tcW w:w="2875" w:type="dxa"/>
            <w:vMerge w:val="restart"/>
            <w:vAlign w:val="center"/>
          </w:tcPr>
          <w:p w14:paraId="1074ECD8" w14:textId="6043B0F7" w:rsidR="008C58D4" w:rsidRPr="00520587" w:rsidRDefault="008C58D4" w:rsidP="00AF332F">
            <w:pPr>
              <w:jc w:val="center"/>
              <w:rPr>
                <w:rFonts w:ascii="Garamond" w:hAnsi="Garamond"/>
                <w:color w:val="000000" w:themeColor="text1"/>
                <w:sz w:val="20"/>
                <w:szCs w:val="20"/>
              </w:rPr>
            </w:pPr>
            <w:r w:rsidRPr="00520587">
              <w:rPr>
                <w:rFonts w:ascii="Garamond" w:hAnsi="Garamond"/>
                <w:color w:val="000000" w:themeColor="text1"/>
                <w:sz w:val="18"/>
                <w:szCs w:val="18"/>
              </w:rPr>
              <w:t>Does the Competition Authority have obligations before the executive?</w:t>
            </w:r>
          </w:p>
        </w:tc>
        <w:tc>
          <w:tcPr>
            <w:tcW w:w="1440" w:type="dxa"/>
            <w:vMerge w:val="restart"/>
            <w:vAlign w:val="center"/>
          </w:tcPr>
          <w:p w14:paraId="70AEC22E" w14:textId="753147E5" w:rsidR="008C58D4" w:rsidRPr="00520587" w:rsidRDefault="008C58D4" w:rsidP="00AF332F">
            <w:pPr>
              <w:jc w:val="center"/>
              <w:rPr>
                <w:rFonts w:ascii="Garamond" w:hAnsi="Garamond"/>
                <w:b/>
                <w:bCs/>
                <w:color w:val="000000" w:themeColor="text1"/>
                <w:sz w:val="18"/>
                <w:szCs w:val="18"/>
              </w:rPr>
            </w:pPr>
            <w:r w:rsidRPr="00520587">
              <w:rPr>
                <w:rFonts w:ascii="Garamond" w:hAnsi="Garamond"/>
                <w:b/>
                <w:bCs/>
                <w:color w:val="000000" w:themeColor="text1"/>
                <w:sz w:val="18"/>
                <w:szCs w:val="18"/>
              </w:rPr>
              <w:t>Yes</w:t>
            </w:r>
          </w:p>
        </w:tc>
        <w:tc>
          <w:tcPr>
            <w:tcW w:w="630" w:type="dxa"/>
            <w:vAlign w:val="center"/>
          </w:tcPr>
          <w:p w14:paraId="7B5C42E3" w14:textId="5594DD2A" w:rsidR="008C58D4" w:rsidRPr="00520587" w:rsidRDefault="0037015E" w:rsidP="00542931">
            <w:pPr>
              <w:jc w:val="center"/>
              <w:rPr>
                <w:rFonts w:ascii="Garamond" w:hAnsi="Garamond"/>
                <w:color w:val="000000" w:themeColor="text1"/>
                <w:sz w:val="18"/>
                <w:szCs w:val="18"/>
              </w:rPr>
            </w:pPr>
            <w:r w:rsidRPr="00520587">
              <w:rPr>
                <w:rFonts w:ascii="Garamond" w:hAnsi="Garamond"/>
                <w:color w:val="000000" w:themeColor="text1"/>
                <w:sz w:val="18"/>
                <w:szCs w:val="18"/>
              </w:rPr>
              <w:t>X</w:t>
            </w:r>
          </w:p>
        </w:tc>
        <w:tc>
          <w:tcPr>
            <w:tcW w:w="2970" w:type="dxa"/>
            <w:vAlign w:val="center"/>
          </w:tcPr>
          <w:p w14:paraId="030FD969" w14:textId="1B44C989" w:rsidR="008C58D4" w:rsidRPr="00520587" w:rsidRDefault="00EC125D" w:rsidP="002B73CD">
            <w:pPr>
              <w:rPr>
                <w:rFonts w:ascii="Garamond" w:hAnsi="Garamond"/>
                <w:color w:val="000000" w:themeColor="text1"/>
                <w:sz w:val="18"/>
                <w:szCs w:val="18"/>
              </w:rPr>
            </w:pPr>
            <w:r w:rsidRPr="00520587">
              <w:rPr>
                <w:rFonts w:ascii="Garamond" w:hAnsi="Garamond"/>
                <w:color w:val="000000" w:themeColor="text1"/>
                <w:sz w:val="18"/>
                <w:szCs w:val="18"/>
              </w:rPr>
              <w:t>Obligations to report to the exec</w:t>
            </w:r>
            <w:r w:rsidR="005E24A8" w:rsidRPr="00520587">
              <w:rPr>
                <w:rFonts w:ascii="Garamond" w:hAnsi="Garamond"/>
                <w:color w:val="000000" w:themeColor="text1"/>
                <w:sz w:val="18"/>
                <w:szCs w:val="18"/>
              </w:rPr>
              <w:t xml:space="preserve">utive on </w:t>
            </w:r>
            <w:r w:rsidR="00542931" w:rsidRPr="00520587">
              <w:rPr>
                <w:rFonts w:ascii="Garamond" w:hAnsi="Garamond"/>
                <w:color w:val="000000" w:themeColor="text1"/>
                <w:sz w:val="18"/>
                <w:szCs w:val="18"/>
              </w:rPr>
              <w:t>on-going investigations upon request</w:t>
            </w:r>
          </w:p>
        </w:tc>
        <w:tc>
          <w:tcPr>
            <w:tcW w:w="1671" w:type="dxa"/>
            <w:vAlign w:val="center"/>
          </w:tcPr>
          <w:p w14:paraId="365B94C3" w14:textId="573C7748" w:rsidR="008C58D4" w:rsidRPr="00520587" w:rsidRDefault="00A046C8" w:rsidP="00A046C8">
            <w:pPr>
              <w:jc w:val="center"/>
              <w:rPr>
                <w:rFonts w:ascii="Garamond" w:hAnsi="Garamond"/>
                <w:color w:val="000000" w:themeColor="text1"/>
                <w:sz w:val="18"/>
                <w:szCs w:val="18"/>
              </w:rPr>
            </w:pPr>
            <w:r w:rsidRPr="00520587">
              <w:rPr>
                <w:rFonts w:ascii="Garamond" w:hAnsi="Garamond"/>
                <w:b/>
                <w:bCs/>
                <w:color w:val="000000" w:themeColor="text1"/>
                <w:sz w:val="18"/>
                <w:szCs w:val="18"/>
              </w:rPr>
              <w:t>N/A</w:t>
            </w:r>
          </w:p>
        </w:tc>
      </w:tr>
      <w:tr w:rsidR="00520587" w:rsidRPr="00520587" w14:paraId="04AF6FAA" w14:textId="77777777" w:rsidTr="009E560B">
        <w:trPr>
          <w:trHeight w:val="341"/>
        </w:trPr>
        <w:tc>
          <w:tcPr>
            <w:tcW w:w="2875" w:type="dxa"/>
            <w:vMerge/>
            <w:vAlign w:val="center"/>
          </w:tcPr>
          <w:p w14:paraId="0BDB5B1C" w14:textId="77777777" w:rsidR="008C58D4" w:rsidRPr="00520587" w:rsidRDefault="008C58D4" w:rsidP="00AF332F">
            <w:pPr>
              <w:jc w:val="center"/>
              <w:rPr>
                <w:rFonts w:ascii="Garamond" w:hAnsi="Garamond"/>
                <w:color w:val="000000" w:themeColor="text1"/>
                <w:sz w:val="18"/>
                <w:szCs w:val="18"/>
              </w:rPr>
            </w:pPr>
          </w:p>
        </w:tc>
        <w:tc>
          <w:tcPr>
            <w:tcW w:w="1440" w:type="dxa"/>
            <w:vMerge/>
            <w:vAlign w:val="center"/>
          </w:tcPr>
          <w:p w14:paraId="7942FF22" w14:textId="77777777" w:rsidR="008C58D4" w:rsidRPr="00520587" w:rsidRDefault="008C58D4" w:rsidP="00AF332F">
            <w:pPr>
              <w:jc w:val="center"/>
              <w:rPr>
                <w:rFonts w:ascii="Garamond" w:hAnsi="Garamond"/>
                <w:b/>
                <w:bCs/>
                <w:color w:val="000000" w:themeColor="text1"/>
                <w:sz w:val="18"/>
                <w:szCs w:val="18"/>
              </w:rPr>
            </w:pPr>
          </w:p>
        </w:tc>
        <w:tc>
          <w:tcPr>
            <w:tcW w:w="630" w:type="dxa"/>
            <w:vAlign w:val="center"/>
          </w:tcPr>
          <w:p w14:paraId="1A42C3E0" w14:textId="67B4EA56" w:rsidR="008C58D4" w:rsidRPr="00520587" w:rsidRDefault="00D24234" w:rsidP="00542931">
            <w:pPr>
              <w:jc w:val="center"/>
              <w:rPr>
                <w:rFonts w:ascii="Garamond" w:hAnsi="Garamond"/>
                <w:color w:val="000000" w:themeColor="text1"/>
                <w:sz w:val="18"/>
                <w:szCs w:val="18"/>
              </w:rPr>
            </w:pPr>
            <w:r w:rsidRPr="00520587">
              <w:rPr>
                <w:rFonts w:ascii="Garamond" w:hAnsi="Garamond"/>
                <w:color w:val="000000" w:themeColor="text1"/>
                <w:sz w:val="18"/>
                <w:szCs w:val="18"/>
              </w:rPr>
              <w:t>X</w:t>
            </w:r>
          </w:p>
        </w:tc>
        <w:tc>
          <w:tcPr>
            <w:tcW w:w="2970" w:type="dxa"/>
            <w:vAlign w:val="center"/>
          </w:tcPr>
          <w:p w14:paraId="0E611A0E" w14:textId="7D9F6A10" w:rsidR="008C58D4" w:rsidRPr="00520587" w:rsidRDefault="007B04BE" w:rsidP="002B73CD">
            <w:pPr>
              <w:rPr>
                <w:rFonts w:ascii="Garamond" w:hAnsi="Garamond"/>
                <w:color w:val="000000" w:themeColor="text1"/>
                <w:sz w:val="18"/>
                <w:szCs w:val="18"/>
              </w:rPr>
            </w:pPr>
            <w:r w:rsidRPr="00520587">
              <w:rPr>
                <w:rFonts w:ascii="Garamond" w:hAnsi="Garamond"/>
                <w:color w:val="000000" w:themeColor="text1"/>
                <w:sz w:val="18"/>
                <w:szCs w:val="18"/>
              </w:rPr>
              <w:t xml:space="preserve">The decisions of the Competition Authority may be vetoed by a ministry or by </w:t>
            </w:r>
            <w:r w:rsidR="00D24234" w:rsidRPr="00520587">
              <w:rPr>
                <w:rFonts w:ascii="Garamond" w:hAnsi="Garamond"/>
                <w:color w:val="000000" w:themeColor="text1"/>
                <w:sz w:val="18"/>
                <w:szCs w:val="18"/>
              </w:rPr>
              <w:t>the executive branch.</w:t>
            </w:r>
          </w:p>
        </w:tc>
        <w:tc>
          <w:tcPr>
            <w:tcW w:w="1671" w:type="dxa"/>
            <w:vAlign w:val="center"/>
          </w:tcPr>
          <w:p w14:paraId="3E314EF9" w14:textId="15B837AC" w:rsidR="008C58D4" w:rsidRPr="00520587" w:rsidRDefault="00A046C8" w:rsidP="00A046C8">
            <w:pPr>
              <w:jc w:val="center"/>
              <w:rPr>
                <w:rFonts w:ascii="Garamond" w:hAnsi="Garamond"/>
                <w:color w:val="000000" w:themeColor="text1"/>
                <w:sz w:val="18"/>
                <w:szCs w:val="18"/>
              </w:rPr>
            </w:pPr>
            <w:r w:rsidRPr="00520587">
              <w:rPr>
                <w:rFonts w:ascii="Garamond" w:hAnsi="Garamond"/>
                <w:b/>
                <w:bCs/>
                <w:color w:val="000000" w:themeColor="text1"/>
                <w:sz w:val="18"/>
                <w:szCs w:val="18"/>
              </w:rPr>
              <w:t>N/A</w:t>
            </w:r>
          </w:p>
        </w:tc>
      </w:tr>
      <w:tr w:rsidR="00520587" w:rsidRPr="00520587" w14:paraId="09EA7355" w14:textId="77777777" w:rsidTr="009E560B">
        <w:trPr>
          <w:trHeight w:val="368"/>
        </w:trPr>
        <w:tc>
          <w:tcPr>
            <w:tcW w:w="2875" w:type="dxa"/>
            <w:vMerge/>
            <w:vAlign w:val="center"/>
          </w:tcPr>
          <w:p w14:paraId="025E8103" w14:textId="77777777" w:rsidR="008C58D4" w:rsidRPr="00520587" w:rsidRDefault="008C58D4" w:rsidP="00AF332F">
            <w:pPr>
              <w:jc w:val="center"/>
              <w:rPr>
                <w:rFonts w:ascii="Garamond" w:hAnsi="Garamond"/>
                <w:color w:val="000000" w:themeColor="text1"/>
                <w:sz w:val="18"/>
                <w:szCs w:val="18"/>
              </w:rPr>
            </w:pPr>
          </w:p>
        </w:tc>
        <w:tc>
          <w:tcPr>
            <w:tcW w:w="1440" w:type="dxa"/>
            <w:vMerge/>
            <w:vAlign w:val="center"/>
          </w:tcPr>
          <w:p w14:paraId="7E880762" w14:textId="77777777" w:rsidR="008C58D4" w:rsidRPr="00520587" w:rsidRDefault="008C58D4" w:rsidP="00AF332F">
            <w:pPr>
              <w:jc w:val="center"/>
              <w:rPr>
                <w:rFonts w:ascii="Garamond" w:hAnsi="Garamond"/>
                <w:b/>
                <w:bCs/>
                <w:color w:val="000000" w:themeColor="text1"/>
                <w:sz w:val="18"/>
                <w:szCs w:val="18"/>
              </w:rPr>
            </w:pPr>
          </w:p>
        </w:tc>
        <w:tc>
          <w:tcPr>
            <w:tcW w:w="630" w:type="dxa"/>
            <w:vAlign w:val="center"/>
          </w:tcPr>
          <w:p w14:paraId="43903CC1" w14:textId="4F56571B" w:rsidR="008C58D4" w:rsidRPr="00520587" w:rsidRDefault="00D252ED" w:rsidP="00542931">
            <w:pPr>
              <w:jc w:val="center"/>
              <w:rPr>
                <w:rFonts w:ascii="Garamond" w:hAnsi="Garamond"/>
                <w:color w:val="000000" w:themeColor="text1"/>
                <w:sz w:val="18"/>
                <w:szCs w:val="18"/>
              </w:rPr>
            </w:pPr>
            <w:r w:rsidRPr="00520587">
              <w:rPr>
                <w:rFonts w:ascii="Garamond" w:eastAsia="Gungsuh" w:hAnsi="Garamond"/>
                <w:b/>
                <w:bCs/>
                <w:color w:val="000000" w:themeColor="text1"/>
                <w:sz w:val="18"/>
                <w:szCs w:val="18"/>
              </w:rPr>
              <w:t>√</w:t>
            </w:r>
          </w:p>
        </w:tc>
        <w:tc>
          <w:tcPr>
            <w:tcW w:w="2970" w:type="dxa"/>
            <w:vAlign w:val="center"/>
          </w:tcPr>
          <w:p w14:paraId="0F779627" w14:textId="24B9D65C" w:rsidR="008C58D4" w:rsidRPr="00520587" w:rsidRDefault="00533FFA" w:rsidP="002B73CD">
            <w:pPr>
              <w:rPr>
                <w:rFonts w:ascii="Garamond" w:hAnsi="Garamond"/>
                <w:color w:val="000000" w:themeColor="text1"/>
                <w:sz w:val="18"/>
                <w:szCs w:val="18"/>
              </w:rPr>
            </w:pPr>
            <w:r w:rsidRPr="00520587">
              <w:rPr>
                <w:rFonts w:ascii="Garamond" w:hAnsi="Garamond"/>
                <w:color w:val="000000" w:themeColor="text1"/>
                <w:sz w:val="18"/>
                <w:szCs w:val="18"/>
              </w:rPr>
              <w:t xml:space="preserve">The </w:t>
            </w:r>
            <w:r w:rsidR="00C74784" w:rsidRPr="00520587">
              <w:rPr>
                <w:rFonts w:ascii="Garamond" w:hAnsi="Garamond"/>
                <w:color w:val="000000" w:themeColor="text1"/>
                <w:sz w:val="18"/>
                <w:szCs w:val="18"/>
              </w:rPr>
              <w:t>Competition Authority has to report on an annual basis to the executive</w:t>
            </w:r>
            <w:r w:rsidR="00D252ED" w:rsidRPr="00520587">
              <w:rPr>
                <w:rFonts w:ascii="Garamond" w:hAnsi="Garamond"/>
                <w:color w:val="000000" w:themeColor="text1"/>
                <w:sz w:val="18"/>
                <w:szCs w:val="18"/>
              </w:rPr>
              <w:t>.</w:t>
            </w:r>
          </w:p>
        </w:tc>
        <w:tc>
          <w:tcPr>
            <w:tcW w:w="1671" w:type="dxa"/>
            <w:vAlign w:val="center"/>
          </w:tcPr>
          <w:p w14:paraId="79C80811" w14:textId="3763E075" w:rsidR="008C58D4" w:rsidRPr="00520587" w:rsidRDefault="00780B0C" w:rsidP="002B73CD">
            <w:pPr>
              <w:rPr>
                <w:rFonts w:ascii="Garamond" w:hAnsi="Garamond"/>
                <w:color w:val="000000" w:themeColor="text1"/>
                <w:sz w:val="18"/>
                <w:szCs w:val="18"/>
              </w:rPr>
            </w:pPr>
            <w:r w:rsidRPr="00520587">
              <w:rPr>
                <w:rFonts w:ascii="Garamond" w:hAnsi="Garamond"/>
                <w:i/>
                <w:iCs/>
                <w:color w:val="000000" w:themeColor="text1"/>
                <w:sz w:val="18"/>
                <w:szCs w:val="18"/>
              </w:rPr>
              <w:t>See</w:t>
            </w:r>
            <w:r w:rsidR="00F20E64" w:rsidRPr="00520587">
              <w:rPr>
                <w:rFonts w:ascii="Garamond" w:hAnsi="Garamond"/>
                <w:color w:val="000000" w:themeColor="text1"/>
                <w:sz w:val="18"/>
                <w:szCs w:val="18"/>
              </w:rPr>
              <w:t xml:space="preserve"> </w:t>
            </w:r>
            <w:r w:rsidR="007B42C2" w:rsidRPr="00520587">
              <w:rPr>
                <w:rStyle w:val="hgkelc"/>
                <w:rFonts w:ascii="Garamond" w:hAnsi="Garamond"/>
                <w:color w:val="000000" w:themeColor="text1"/>
                <w:sz w:val="18"/>
                <w:szCs w:val="18"/>
                <w:lang w:val="en"/>
              </w:rPr>
              <w:t>§</w:t>
            </w:r>
            <w:r w:rsidR="00F20E64" w:rsidRPr="00520587">
              <w:rPr>
                <w:rStyle w:val="hgkelc"/>
                <w:rFonts w:ascii="Garamond" w:hAnsi="Garamond"/>
                <w:color w:val="000000" w:themeColor="text1"/>
                <w:sz w:val="18"/>
                <w:szCs w:val="18"/>
                <w:lang w:val="en"/>
              </w:rPr>
              <w:t>39</w:t>
            </w:r>
            <w:r w:rsidR="007B42C2" w:rsidRPr="00520587">
              <w:rPr>
                <w:rStyle w:val="hgkelc"/>
                <w:rFonts w:ascii="Garamond" w:hAnsi="Garamond"/>
                <w:color w:val="000000" w:themeColor="text1"/>
                <w:sz w:val="18"/>
                <w:szCs w:val="18"/>
                <w:lang w:val="en"/>
              </w:rPr>
              <w:t xml:space="preserve"> &amp;</w:t>
            </w:r>
            <w:r w:rsidR="006D5FD5" w:rsidRPr="00520587">
              <w:rPr>
                <w:rStyle w:val="hgkelc"/>
                <w:rFonts w:ascii="Garamond" w:hAnsi="Garamond"/>
                <w:color w:val="000000" w:themeColor="text1"/>
                <w:sz w:val="18"/>
                <w:szCs w:val="18"/>
                <w:lang w:val="en"/>
              </w:rPr>
              <w:t xml:space="preserve"> </w:t>
            </w:r>
            <w:r w:rsidR="007B42C2" w:rsidRPr="00520587">
              <w:rPr>
                <w:rStyle w:val="hgkelc"/>
                <w:rFonts w:ascii="Garamond" w:hAnsi="Garamond"/>
                <w:color w:val="000000" w:themeColor="text1"/>
                <w:sz w:val="18"/>
                <w:szCs w:val="18"/>
                <w:lang w:val="en"/>
              </w:rPr>
              <w:t xml:space="preserve">§§33-34 </w:t>
            </w:r>
            <w:r w:rsidR="0028666C" w:rsidRPr="00520587">
              <w:rPr>
                <w:rStyle w:val="hgkelc"/>
                <w:rFonts w:ascii="Garamond" w:hAnsi="Garamond"/>
                <w:color w:val="000000" w:themeColor="text1"/>
                <w:sz w:val="18"/>
                <w:szCs w:val="18"/>
                <w:lang w:val="en"/>
              </w:rPr>
              <w:t xml:space="preserve"> of</w:t>
            </w:r>
            <w:r w:rsidR="00F20E64" w:rsidRPr="00520587">
              <w:rPr>
                <w:rFonts w:ascii="Garamond" w:hAnsi="Garamond"/>
                <w:color w:val="000000" w:themeColor="text1"/>
              </w:rPr>
              <w:t xml:space="preserve"> </w:t>
            </w:r>
            <w:r w:rsidRPr="00520587">
              <w:rPr>
                <w:rStyle w:val="hgkelc"/>
                <w:rFonts w:ascii="Garamond" w:hAnsi="Garamond"/>
                <w:color w:val="000000" w:themeColor="text1"/>
                <w:sz w:val="18"/>
                <w:szCs w:val="18"/>
                <w:lang w:val="en"/>
              </w:rPr>
              <w:t>the Competition Act, 2012</w:t>
            </w:r>
            <w:r w:rsidR="0028666C" w:rsidRPr="00520587">
              <w:rPr>
                <w:rStyle w:val="hgkelc"/>
                <w:rFonts w:ascii="Garamond" w:hAnsi="Garamond"/>
                <w:color w:val="000000" w:themeColor="text1"/>
                <w:sz w:val="18"/>
                <w:szCs w:val="18"/>
                <w:lang w:val="en"/>
              </w:rPr>
              <w:t>.</w:t>
            </w:r>
          </w:p>
        </w:tc>
      </w:tr>
      <w:tr w:rsidR="00520587" w:rsidRPr="00520587" w14:paraId="009C72F3" w14:textId="77777777" w:rsidTr="009E560B">
        <w:trPr>
          <w:trHeight w:val="602"/>
        </w:trPr>
        <w:tc>
          <w:tcPr>
            <w:tcW w:w="2875" w:type="dxa"/>
            <w:vMerge w:val="restart"/>
            <w:vAlign w:val="center"/>
          </w:tcPr>
          <w:p w14:paraId="27232401" w14:textId="16459A00" w:rsidR="002E3291" w:rsidRPr="00520587" w:rsidRDefault="002E3291" w:rsidP="00AF332F">
            <w:pPr>
              <w:jc w:val="center"/>
              <w:rPr>
                <w:rFonts w:ascii="Garamond" w:hAnsi="Garamond"/>
                <w:color w:val="000000" w:themeColor="text1"/>
                <w:sz w:val="18"/>
                <w:szCs w:val="18"/>
              </w:rPr>
            </w:pPr>
            <w:r w:rsidRPr="00520587">
              <w:rPr>
                <w:rFonts w:ascii="Garamond" w:hAnsi="Garamond"/>
                <w:color w:val="000000" w:themeColor="text1"/>
                <w:sz w:val="18"/>
                <w:szCs w:val="18"/>
              </w:rPr>
              <w:t>Does the Competition Authority have obligations before the legislature?</w:t>
            </w:r>
          </w:p>
        </w:tc>
        <w:tc>
          <w:tcPr>
            <w:tcW w:w="1440" w:type="dxa"/>
            <w:vMerge w:val="restart"/>
            <w:vAlign w:val="center"/>
          </w:tcPr>
          <w:p w14:paraId="0A28FD34" w14:textId="7E21E5C0" w:rsidR="002E3291" w:rsidRPr="00520587" w:rsidRDefault="002E3291" w:rsidP="00AF332F">
            <w:pPr>
              <w:jc w:val="center"/>
              <w:rPr>
                <w:rFonts w:ascii="Garamond" w:hAnsi="Garamond"/>
                <w:b/>
                <w:bCs/>
                <w:color w:val="000000" w:themeColor="text1"/>
                <w:sz w:val="18"/>
                <w:szCs w:val="18"/>
              </w:rPr>
            </w:pPr>
            <w:r w:rsidRPr="00520587">
              <w:rPr>
                <w:rFonts w:ascii="Garamond" w:hAnsi="Garamond"/>
                <w:b/>
                <w:bCs/>
                <w:color w:val="000000" w:themeColor="text1"/>
                <w:sz w:val="18"/>
                <w:szCs w:val="18"/>
              </w:rPr>
              <w:t>No</w:t>
            </w:r>
          </w:p>
        </w:tc>
        <w:tc>
          <w:tcPr>
            <w:tcW w:w="630" w:type="dxa"/>
            <w:vAlign w:val="center"/>
          </w:tcPr>
          <w:p w14:paraId="61866844" w14:textId="50DF7D10" w:rsidR="002E3291" w:rsidRPr="00520587" w:rsidRDefault="00F7628B" w:rsidP="00542931">
            <w:pPr>
              <w:jc w:val="center"/>
              <w:rPr>
                <w:rFonts w:ascii="Garamond" w:hAnsi="Garamond"/>
                <w:color w:val="000000" w:themeColor="text1"/>
                <w:sz w:val="18"/>
                <w:szCs w:val="18"/>
              </w:rPr>
            </w:pPr>
            <w:r w:rsidRPr="00520587">
              <w:rPr>
                <w:rFonts w:ascii="Garamond" w:eastAsia="Gungsuh" w:hAnsi="Garamond"/>
                <w:b/>
                <w:bCs/>
                <w:color w:val="000000" w:themeColor="text1"/>
                <w:sz w:val="18"/>
                <w:szCs w:val="18"/>
              </w:rPr>
              <w:t>√</w:t>
            </w:r>
          </w:p>
        </w:tc>
        <w:tc>
          <w:tcPr>
            <w:tcW w:w="2970" w:type="dxa"/>
            <w:vAlign w:val="center"/>
          </w:tcPr>
          <w:p w14:paraId="7C5AD144" w14:textId="5FA82E46" w:rsidR="002E3291" w:rsidRPr="00520587" w:rsidRDefault="000C298F" w:rsidP="00C87B2E">
            <w:pPr>
              <w:jc w:val="left"/>
              <w:rPr>
                <w:rFonts w:ascii="Garamond" w:hAnsi="Garamond"/>
                <w:color w:val="000000" w:themeColor="text1"/>
                <w:sz w:val="18"/>
                <w:szCs w:val="18"/>
              </w:rPr>
            </w:pPr>
            <w:r w:rsidRPr="00520587">
              <w:rPr>
                <w:rFonts w:ascii="Garamond" w:hAnsi="Garamond"/>
                <w:color w:val="000000" w:themeColor="text1"/>
                <w:sz w:val="18"/>
                <w:szCs w:val="18"/>
              </w:rPr>
              <w:t>Obligation to publish an annual report on its activities.</w:t>
            </w:r>
          </w:p>
        </w:tc>
        <w:tc>
          <w:tcPr>
            <w:tcW w:w="1671" w:type="dxa"/>
            <w:vAlign w:val="center"/>
          </w:tcPr>
          <w:p w14:paraId="431B125E" w14:textId="4107B411" w:rsidR="002E3291" w:rsidRPr="00520587" w:rsidRDefault="001F6F74" w:rsidP="002B73CD">
            <w:pPr>
              <w:rPr>
                <w:rFonts w:ascii="Garamond" w:hAnsi="Garamond"/>
                <w:color w:val="000000" w:themeColor="text1"/>
                <w:sz w:val="18"/>
                <w:szCs w:val="18"/>
              </w:rPr>
            </w:pPr>
            <w:r w:rsidRPr="00520587">
              <w:rPr>
                <w:rFonts w:ascii="Garamond" w:hAnsi="Garamond"/>
                <w:i/>
                <w:iCs/>
                <w:color w:val="000000" w:themeColor="text1"/>
                <w:sz w:val="18"/>
                <w:szCs w:val="18"/>
              </w:rPr>
              <w:t>See</w:t>
            </w:r>
            <w:r w:rsidRPr="00520587">
              <w:rPr>
                <w:rFonts w:ascii="Garamond" w:hAnsi="Garamond"/>
                <w:color w:val="000000" w:themeColor="text1"/>
                <w:sz w:val="18"/>
                <w:szCs w:val="18"/>
              </w:rPr>
              <w:t xml:space="preserve"> </w:t>
            </w:r>
            <w:r w:rsidRPr="00520587">
              <w:rPr>
                <w:rStyle w:val="hgkelc"/>
                <w:rFonts w:ascii="Garamond" w:hAnsi="Garamond"/>
                <w:color w:val="000000" w:themeColor="text1"/>
                <w:sz w:val="18"/>
                <w:szCs w:val="18"/>
                <w:lang w:val="en"/>
              </w:rPr>
              <w:t>§39 of the Competition Act of 2012.</w:t>
            </w:r>
          </w:p>
        </w:tc>
      </w:tr>
      <w:tr w:rsidR="00520587" w:rsidRPr="00520587" w14:paraId="28C222FF" w14:textId="77777777" w:rsidTr="009E560B">
        <w:trPr>
          <w:trHeight w:val="710"/>
        </w:trPr>
        <w:tc>
          <w:tcPr>
            <w:tcW w:w="2875" w:type="dxa"/>
            <w:vMerge/>
            <w:vAlign w:val="center"/>
          </w:tcPr>
          <w:p w14:paraId="0E4F7BF5" w14:textId="77777777" w:rsidR="002E3291" w:rsidRPr="00520587" w:rsidRDefault="002E3291" w:rsidP="00AF332F">
            <w:pPr>
              <w:jc w:val="center"/>
              <w:rPr>
                <w:rFonts w:ascii="Garamond" w:hAnsi="Garamond"/>
                <w:color w:val="000000" w:themeColor="text1"/>
                <w:sz w:val="18"/>
                <w:szCs w:val="18"/>
              </w:rPr>
            </w:pPr>
          </w:p>
        </w:tc>
        <w:tc>
          <w:tcPr>
            <w:tcW w:w="1440" w:type="dxa"/>
            <w:vMerge/>
            <w:vAlign w:val="center"/>
          </w:tcPr>
          <w:p w14:paraId="1A530CE5" w14:textId="77777777" w:rsidR="002E3291" w:rsidRPr="00520587" w:rsidRDefault="002E3291" w:rsidP="00AF332F">
            <w:pPr>
              <w:jc w:val="center"/>
              <w:rPr>
                <w:rFonts w:ascii="Garamond" w:hAnsi="Garamond"/>
                <w:b/>
                <w:bCs/>
                <w:color w:val="000000" w:themeColor="text1"/>
                <w:sz w:val="18"/>
                <w:szCs w:val="18"/>
              </w:rPr>
            </w:pPr>
          </w:p>
        </w:tc>
        <w:tc>
          <w:tcPr>
            <w:tcW w:w="630" w:type="dxa"/>
            <w:vAlign w:val="center"/>
          </w:tcPr>
          <w:p w14:paraId="7F226B14" w14:textId="33D7557C" w:rsidR="002E3291" w:rsidRPr="00520587" w:rsidRDefault="00B20BE0" w:rsidP="00542931">
            <w:pPr>
              <w:jc w:val="center"/>
              <w:rPr>
                <w:rFonts w:ascii="Garamond" w:hAnsi="Garamond"/>
                <w:color w:val="000000" w:themeColor="text1"/>
                <w:sz w:val="18"/>
                <w:szCs w:val="18"/>
              </w:rPr>
            </w:pPr>
            <w:r w:rsidRPr="00520587">
              <w:rPr>
                <w:rFonts w:ascii="Garamond" w:hAnsi="Garamond"/>
                <w:color w:val="000000" w:themeColor="text1"/>
                <w:sz w:val="18"/>
                <w:szCs w:val="18"/>
              </w:rPr>
              <w:t>X</w:t>
            </w:r>
          </w:p>
        </w:tc>
        <w:tc>
          <w:tcPr>
            <w:tcW w:w="2970" w:type="dxa"/>
            <w:vAlign w:val="center"/>
          </w:tcPr>
          <w:p w14:paraId="6672DFD1" w14:textId="6055D3CA" w:rsidR="002E3291" w:rsidRPr="00520587" w:rsidRDefault="000C298F" w:rsidP="00C87B2E">
            <w:pPr>
              <w:jc w:val="left"/>
              <w:rPr>
                <w:rFonts w:ascii="Garamond" w:hAnsi="Garamond"/>
                <w:color w:val="000000" w:themeColor="text1"/>
                <w:sz w:val="18"/>
                <w:szCs w:val="18"/>
              </w:rPr>
            </w:pPr>
            <w:r w:rsidRPr="00520587">
              <w:rPr>
                <w:rFonts w:ascii="Garamond" w:hAnsi="Garamond"/>
                <w:color w:val="000000" w:themeColor="text1"/>
                <w:sz w:val="18"/>
                <w:szCs w:val="18"/>
              </w:rPr>
              <w:t xml:space="preserve">Obligation to stand before parliament </w:t>
            </w:r>
            <w:r w:rsidR="00C87B2E" w:rsidRPr="00520587">
              <w:rPr>
                <w:rFonts w:ascii="Garamond" w:hAnsi="Garamond"/>
                <w:color w:val="000000" w:themeColor="text1"/>
                <w:sz w:val="18"/>
                <w:szCs w:val="18"/>
              </w:rPr>
              <w:t>and to respond to congressmen on an annual basis.</w:t>
            </w:r>
          </w:p>
        </w:tc>
        <w:tc>
          <w:tcPr>
            <w:tcW w:w="1671" w:type="dxa"/>
            <w:vAlign w:val="center"/>
          </w:tcPr>
          <w:p w14:paraId="60013103" w14:textId="44449295" w:rsidR="002E3291" w:rsidRPr="00520587" w:rsidRDefault="00A046C8" w:rsidP="00A046C8">
            <w:pPr>
              <w:jc w:val="center"/>
              <w:rPr>
                <w:rFonts w:ascii="Garamond" w:hAnsi="Garamond"/>
                <w:color w:val="000000" w:themeColor="text1"/>
                <w:sz w:val="18"/>
                <w:szCs w:val="18"/>
              </w:rPr>
            </w:pPr>
            <w:r w:rsidRPr="00520587">
              <w:rPr>
                <w:rFonts w:ascii="Garamond" w:hAnsi="Garamond"/>
                <w:b/>
                <w:bCs/>
                <w:color w:val="000000" w:themeColor="text1"/>
                <w:sz w:val="18"/>
                <w:szCs w:val="18"/>
              </w:rPr>
              <w:t>N/A</w:t>
            </w:r>
          </w:p>
        </w:tc>
      </w:tr>
      <w:tr w:rsidR="00520587" w:rsidRPr="00520587" w14:paraId="68BE6B4E" w14:textId="77777777" w:rsidTr="009E560B">
        <w:trPr>
          <w:trHeight w:val="719"/>
        </w:trPr>
        <w:tc>
          <w:tcPr>
            <w:tcW w:w="2875" w:type="dxa"/>
            <w:vMerge/>
            <w:vAlign w:val="center"/>
          </w:tcPr>
          <w:p w14:paraId="5A65F765" w14:textId="77777777" w:rsidR="002E3291" w:rsidRPr="00520587" w:rsidRDefault="002E3291" w:rsidP="00AF332F">
            <w:pPr>
              <w:jc w:val="center"/>
              <w:rPr>
                <w:rFonts w:ascii="Garamond" w:hAnsi="Garamond"/>
                <w:color w:val="000000" w:themeColor="text1"/>
                <w:sz w:val="18"/>
                <w:szCs w:val="18"/>
              </w:rPr>
            </w:pPr>
          </w:p>
        </w:tc>
        <w:tc>
          <w:tcPr>
            <w:tcW w:w="1440" w:type="dxa"/>
            <w:vMerge/>
            <w:vAlign w:val="center"/>
          </w:tcPr>
          <w:p w14:paraId="14D0BE5A" w14:textId="77777777" w:rsidR="002E3291" w:rsidRPr="00520587" w:rsidRDefault="002E3291" w:rsidP="00AF332F">
            <w:pPr>
              <w:jc w:val="center"/>
              <w:rPr>
                <w:rFonts w:ascii="Garamond" w:hAnsi="Garamond"/>
                <w:b/>
                <w:bCs/>
                <w:color w:val="000000" w:themeColor="text1"/>
                <w:sz w:val="18"/>
                <w:szCs w:val="18"/>
              </w:rPr>
            </w:pPr>
          </w:p>
        </w:tc>
        <w:tc>
          <w:tcPr>
            <w:tcW w:w="630" w:type="dxa"/>
            <w:vAlign w:val="center"/>
          </w:tcPr>
          <w:p w14:paraId="27234250" w14:textId="66F74851" w:rsidR="002E3291" w:rsidRPr="00520587" w:rsidRDefault="00B20BE0" w:rsidP="00542931">
            <w:pPr>
              <w:jc w:val="center"/>
              <w:rPr>
                <w:rFonts w:ascii="Garamond" w:hAnsi="Garamond"/>
                <w:color w:val="000000" w:themeColor="text1"/>
                <w:sz w:val="18"/>
                <w:szCs w:val="18"/>
              </w:rPr>
            </w:pPr>
            <w:r w:rsidRPr="00520587">
              <w:rPr>
                <w:rFonts w:ascii="Garamond" w:hAnsi="Garamond"/>
                <w:color w:val="000000" w:themeColor="text1"/>
                <w:sz w:val="18"/>
                <w:szCs w:val="18"/>
              </w:rPr>
              <w:t>X</w:t>
            </w:r>
          </w:p>
        </w:tc>
        <w:tc>
          <w:tcPr>
            <w:tcW w:w="2970" w:type="dxa"/>
            <w:vAlign w:val="center"/>
          </w:tcPr>
          <w:p w14:paraId="0EB3B2B5" w14:textId="28BF70CB" w:rsidR="002E3291" w:rsidRPr="00520587" w:rsidRDefault="00B20BE0" w:rsidP="003F6742">
            <w:pPr>
              <w:rPr>
                <w:rFonts w:ascii="Garamond" w:hAnsi="Garamond"/>
                <w:color w:val="000000" w:themeColor="text1"/>
                <w:sz w:val="18"/>
                <w:szCs w:val="18"/>
              </w:rPr>
            </w:pPr>
            <w:r w:rsidRPr="00520587">
              <w:rPr>
                <w:rFonts w:ascii="Garamond" w:hAnsi="Garamond"/>
                <w:color w:val="000000" w:themeColor="text1"/>
                <w:sz w:val="18"/>
                <w:szCs w:val="18"/>
              </w:rPr>
              <w:t>Its activities are monitored by an independent auditor or by oversight committees.</w:t>
            </w:r>
          </w:p>
        </w:tc>
        <w:tc>
          <w:tcPr>
            <w:tcW w:w="1671" w:type="dxa"/>
            <w:vAlign w:val="center"/>
          </w:tcPr>
          <w:p w14:paraId="1EDB93B6" w14:textId="7201A5DA" w:rsidR="002E3291" w:rsidRPr="00520587" w:rsidRDefault="00A046C8" w:rsidP="00A046C8">
            <w:pPr>
              <w:jc w:val="center"/>
              <w:rPr>
                <w:rFonts w:ascii="Garamond" w:hAnsi="Garamond"/>
                <w:color w:val="000000" w:themeColor="text1"/>
                <w:sz w:val="18"/>
                <w:szCs w:val="18"/>
              </w:rPr>
            </w:pPr>
            <w:r w:rsidRPr="00520587">
              <w:rPr>
                <w:rFonts w:ascii="Garamond" w:hAnsi="Garamond"/>
                <w:b/>
                <w:bCs/>
                <w:color w:val="000000" w:themeColor="text1"/>
                <w:sz w:val="18"/>
                <w:szCs w:val="18"/>
              </w:rPr>
              <w:t>N/A</w:t>
            </w:r>
          </w:p>
        </w:tc>
      </w:tr>
      <w:tr w:rsidR="00520587" w:rsidRPr="00520587" w14:paraId="2C29D59D" w14:textId="77777777" w:rsidTr="009E560B">
        <w:trPr>
          <w:trHeight w:val="530"/>
        </w:trPr>
        <w:tc>
          <w:tcPr>
            <w:tcW w:w="2875" w:type="dxa"/>
            <w:vMerge w:val="restart"/>
            <w:vAlign w:val="center"/>
          </w:tcPr>
          <w:p w14:paraId="0CF27CBE" w14:textId="625A0D4B" w:rsidR="00010013" w:rsidRPr="00520587" w:rsidRDefault="00010013" w:rsidP="00AF332F">
            <w:pPr>
              <w:jc w:val="center"/>
              <w:rPr>
                <w:rFonts w:ascii="Garamond" w:hAnsi="Garamond"/>
                <w:color w:val="000000" w:themeColor="text1"/>
                <w:sz w:val="18"/>
                <w:szCs w:val="18"/>
              </w:rPr>
            </w:pPr>
            <w:r w:rsidRPr="00520587">
              <w:rPr>
                <w:rFonts w:ascii="Garamond" w:hAnsi="Garamond"/>
                <w:color w:val="000000" w:themeColor="text1"/>
                <w:sz w:val="18"/>
                <w:szCs w:val="18"/>
              </w:rPr>
              <w:t>Does the Competition Authority have obligations before the judiciary or independent agencies?</w:t>
            </w:r>
          </w:p>
        </w:tc>
        <w:tc>
          <w:tcPr>
            <w:tcW w:w="1440" w:type="dxa"/>
            <w:vMerge w:val="restart"/>
            <w:vAlign w:val="center"/>
          </w:tcPr>
          <w:p w14:paraId="4DA83BCC" w14:textId="72673589" w:rsidR="00010013" w:rsidRPr="00520587" w:rsidRDefault="00010013" w:rsidP="00AF332F">
            <w:pPr>
              <w:jc w:val="center"/>
              <w:rPr>
                <w:rFonts w:ascii="Garamond" w:hAnsi="Garamond"/>
                <w:b/>
                <w:bCs/>
                <w:color w:val="000000" w:themeColor="text1"/>
                <w:sz w:val="18"/>
                <w:szCs w:val="18"/>
              </w:rPr>
            </w:pPr>
            <w:r w:rsidRPr="00520587">
              <w:rPr>
                <w:rFonts w:ascii="Garamond" w:hAnsi="Garamond"/>
                <w:b/>
                <w:bCs/>
                <w:color w:val="000000" w:themeColor="text1"/>
                <w:sz w:val="18"/>
                <w:szCs w:val="18"/>
              </w:rPr>
              <w:t>No</w:t>
            </w:r>
          </w:p>
        </w:tc>
        <w:tc>
          <w:tcPr>
            <w:tcW w:w="630" w:type="dxa"/>
            <w:vAlign w:val="center"/>
          </w:tcPr>
          <w:p w14:paraId="4A0ADDFC" w14:textId="66F04C6C" w:rsidR="00010013" w:rsidRPr="00520587" w:rsidRDefault="00010013" w:rsidP="00542931">
            <w:pPr>
              <w:jc w:val="center"/>
              <w:rPr>
                <w:rFonts w:ascii="Garamond" w:hAnsi="Garamond"/>
                <w:color w:val="000000" w:themeColor="text1"/>
                <w:sz w:val="18"/>
                <w:szCs w:val="18"/>
              </w:rPr>
            </w:pPr>
            <w:r w:rsidRPr="00520587">
              <w:rPr>
                <w:rFonts w:ascii="Garamond" w:hAnsi="Garamond"/>
                <w:color w:val="000000" w:themeColor="text1"/>
                <w:sz w:val="18"/>
                <w:szCs w:val="18"/>
              </w:rPr>
              <w:t>X</w:t>
            </w:r>
          </w:p>
        </w:tc>
        <w:tc>
          <w:tcPr>
            <w:tcW w:w="2970" w:type="dxa"/>
            <w:vAlign w:val="center"/>
          </w:tcPr>
          <w:p w14:paraId="1DF2D8AD" w14:textId="100B1FEB" w:rsidR="00010013" w:rsidRPr="00520587" w:rsidRDefault="00010013" w:rsidP="00AE5DB0">
            <w:pPr>
              <w:rPr>
                <w:rFonts w:ascii="Garamond" w:hAnsi="Garamond"/>
                <w:color w:val="000000" w:themeColor="text1"/>
                <w:sz w:val="18"/>
                <w:szCs w:val="18"/>
              </w:rPr>
            </w:pPr>
            <w:r w:rsidRPr="00520587">
              <w:rPr>
                <w:rFonts w:ascii="Garamond" w:hAnsi="Garamond"/>
                <w:color w:val="000000" w:themeColor="text1"/>
                <w:sz w:val="18"/>
                <w:szCs w:val="18"/>
              </w:rPr>
              <w:t>Decisions of the Competition Authority are subject to judicial review.</w:t>
            </w:r>
          </w:p>
        </w:tc>
        <w:tc>
          <w:tcPr>
            <w:tcW w:w="1671" w:type="dxa"/>
            <w:vAlign w:val="center"/>
          </w:tcPr>
          <w:p w14:paraId="478119A9" w14:textId="3EC23486" w:rsidR="00010013" w:rsidRPr="00520587" w:rsidRDefault="00010013" w:rsidP="002B73CD">
            <w:pPr>
              <w:rPr>
                <w:rFonts w:ascii="Garamond" w:hAnsi="Garamond"/>
                <w:color w:val="000000" w:themeColor="text1"/>
                <w:sz w:val="15"/>
                <w:szCs w:val="15"/>
              </w:rPr>
            </w:pPr>
            <w:r w:rsidRPr="00520587">
              <w:rPr>
                <w:rFonts w:ascii="Garamond" w:hAnsi="Garamond"/>
                <w:color w:val="000000" w:themeColor="text1"/>
                <w:sz w:val="15"/>
                <w:szCs w:val="15"/>
              </w:rPr>
              <w:t>[</w:t>
            </w:r>
            <w:r w:rsidRPr="00520587">
              <w:rPr>
                <w:rFonts w:ascii="Garamond" w:hAnsi="Garamond"/>
                <w:b/>
                <w:bCs/>
                <w:color w:val="000000" w:themeColor="text1"/>
                <w:sz w:val="15"/>
                <w:szCs w:val="15"/>
              </w:rPr>
              <w:t>Note:</w:t>
            </w:r>
            <w:r w:rsidRPr="00520587">
              <w:rPr>
                <w:rFonts w:ascii="Garamond" w:hAnsi="Garamond"/>
                <w:color w:val="000000" w:themeColor="text1"/>
                <w:sz w:val="15"/>
                <w:szCs w:val="15"/>
              </w:rPr>
              <w:t xml:space="preserve"> No statutory right of judicial review but an aggrieved party may challenge the Commission’s decision by lodging a writ petition before the High Court Division of the Supreme Court of Bangladesh. See Art. 102 of the Constitution of People’s Republic Bangladesh</w:t>
            </w:r>
            <w:r w:rsidR="00520587" w:rsidRPr="00520587">
              <w:rPr>
                <w:rFonts w:ascii="Garamond" w:hAnsi="Garamond"/>
                <w:color w:val="000000" w:themeColor="text1"/>
                <w:sz w:val="15"/>
                <w:szCs w:val="15"/>
              </w:rPr>
              <w:t>.</w:t>
            </w:r>
            <w:r w:rsidRPr="00520587">
              <w:rPr>
                <w:rFonts w:ascii="Garamond" w:hAnsi="Garamond"/>
                <w:color w:val="000000" w:themeColor="text1"/>
                <w:sz w:val="15"/>
                <w:szCs w:val="15"/>
              </w:rPr>
              <w:t>]</w:t>
            </w:r>
          </w:p>
          <w:p w14:paraId="086F2D4F" w14:textId="69CBB8E5" w:rsidR="00520587" w:rsidRPr="00520587" w:rsidRDefault="00520587" w:rsidP="002B73CD">
            <w:pPr>
              <w:rPr>
                <w:rFonts w:ascii="Garamond" w:hAnsi="Garamond"/>
                <w:color w:val="000000" w:themeColor="text1"/>
                <w:sz w:val="15"/>
                <w:szCs w:val="15"/>
              </w:rPr>
            </w:pPr>
          </w:p>
        </w:tc>
      </w:tr>
      <w:tr w:rsidR="00520587" w:rsidRPr="00520587" w14:paraId="3318B2B4" w14:textId="77777777" w:rsidTr="009E560B">
        <w:trPr>
          <w:trHeight w:val="978"/>
        </w:trPr>
        <w:tc>
          <w:tcPr>
            <w:tcW w:w="2875" w:type="dxa"/>
            <w:vMerge/>
            <w:vAlign w:val="center"/>
          </w:tcPr>
          <w:p w14:paraId="66FD1503" w14:textId="77777777" w:rsidR="00010013" w:rsidRPr="00520587" w:rsidRDefault="00010013" w:rsidP="00AF332F">
            <w:pPr>
              <w:jc w:val="center"/>
              <w:rPr>
                <w:rFonts w:ascii="Garamond" w:hAnsi="Garamond"/>
                <w:color w:val="000000" w:themeColor="text1"/>
                <w:sz w:val="18"/>
                <w:szCs w:val="18"/>
              </w:rPr>
            </w:pPr>
          </w:p>
        </w:tc>
        <w:tc>
          <w:tcPr>
            <w:tcW w:w="1440" w:type="dxa"/>
            <w:vMerge/>
            <w:vAlign w:val="center"/>
          </w:tcPr>
          <w:p w14:paraId="161C0469" w14:textId="77777777" w:rsidR="00010013" w:rsidRPr="00520587" w:rsidRDefault="00010013" w:rsidP="00AF332F">
            <w:pPr>
              <w:jc w:val="center"/>
              <w:rPr>
                <w:rFonts w:ascii="Garamond" w:hAnsi="Garamond"/>
                <w:b/>
                <w:bCs/>
                <w:color w:val="000000" w:themeColor="text1"/>
                <w:sz w:val="18"/>
                <w:szCs w:val="18"/>
              </w:rPr>
            </w:pPr>
          </w:p>
        </w:tc>
        <w:tc>
          <w:tcPr>
            <w:tcW w:w="630" w:type="dxa"/>
            <w:tcBorders>
              <w:right w:val="single" w:sz="4" w:space="0" w:color="auto"/>
            </w:tcBorders>
            <w:vAlign w:val="center"/>
          </w:tcPr>
          <w:p w14:paraId="4BE1EE56" w14:textId="2BB0A680" w:rsidR="00010013" w:rsidRPr="00520587" w:rsidRDefault="00010013" w:rsidP="00542931">
            <w:pPr>
              <w:jc w:val="center"/>
              <w:rPr>
                <w:rFonts w:ascii="Garamond" w:hAnsi="Garamond"/>
                <w:color w:val="000000" w:themeColor="text1"/>
                <w:sz w:val="18"/>
                <w:szCs w:val="18"/>
              </w:rPr>
            </w:pPr>
            <w:r w:rsidRPr="00520587">
              <w:rPr>
                <w:rFonts w:ascii="Garamond" w:hAnsi="Garamond"/>
                <w:color w:val="000000" w:themeColor="text1"/>
                <w:sz w:val="18"/>
                <w:szCs w:val="18"/>
              </w:rPr>
              <w:t>X</w:t>
            </w:r>
          </w:p>
        </w:tc>
        <w:tc>
          <w:tcPr>
            <w:tcW w:w="2970" w:type="dxa"/>
            <w:tcBorders>
              <w:left w:val="single" w:sz="4" w:space="0" w:color="auto"/>
            </w:tcBorders>
            <w:vAlign w:val="center"/>
          </w:tcPr>
          <w:p w14:paraId="358129F1" w14:textId="5B60EB34" w:rsidR="00010013" w:rsidRPr="00520587" w:rsidRDefault="00010013" w:rsidP="00AE5DB0">
            <w:pPr>
              <w:rPr>
                <w:rFonts w:ascii="Garamond" w:hAnsi="Garamond"/>
                <w:color w:val="000000" w:themeColor="text1"/>
                <w:sz w:val="18"/>
                <w:szCs w:val="18"/>
              </w:rPr>
            </w:pPr>
            <w:r w:rsidRPr="00520587">
              <w:rPr>
                <w:rFonts w:ascii="Garamond" w:hAnsi="Garamond"/>
                <w:color w:val="000000" w:themeColor="text1"/>
                <w:sz w:val="18"/>
                <w:szCs w:val="18"/>
              </w:rPr>
              <w:t>Decisions of the Competition Authority are subject to review or control of an independent authority different than the judiciary.</w:t>
            </w:r>
          </w:p>
        </w:tc>
        <w:tc>
          <w:tcPr>
            <w:tcW w:w="1671" w:type="dxa"/>
            <w:vAlign w:val="center"/>
          </w:tcPr>
          <w:p w14:paraId="3732CE14" w14:textId="74B6C27C" w:rsidR="00010013" w:rsidRPr="00520587" w:rsidRDefault="00A046C8" w:rsidP="00A046C8">
            <w:pPr>
              <w:jc w:val="center"/>
              <w:rPr>
                <w:rFonts w:ascii="Garamond" w:hAnsi="Garamond"/>
                <w:b/>
                <w:bCs/>
                <w:color w:val="000000" w:themeColor="text1"/>
                <w:sz w:val="18"/>
                <w:szCs w:val="18"/>
              </w:rPr>
            </w:pPr>
            <w:r w:rsidRPr="00520587">
              <w:rPr>
                <w:rFonts w:ascii="Garamond" w:hAnsi="Garamond"/>
                <w:b/>
                <w:bCs/>
                <w:color w:val="000000" w:themeColor="text1"/>
                <w:sz w:val="18"/>
                <w:szCs w:val="18"/>
              </w:rPr>
              <w:t>N/A</w:t>
            </w:r>
          </w:p>
        </w:tc>
      </w:tr>
      <w:tr w:rsidR="00520587" w:rsidRPr="00520587" w14:paraId="3ADAB629" w14:textId="77777777" w:rsidTr="009E560B">
        <w:trPr>
          <w:trHeight w:val="318"/>
        </w:trPr>
        <w:tc>
          <w:tcPr>
            <w:tcW w:w="2875" w:type="dxa"/>
            <w:vMerge/>
            <w:vAlign w:val="center"/>
          </w:tcPr>
          <w:p w14:paraId="5B5E64B4" w14:textId="77777777" w:rsidR="00010013" w:rsidRPr="00520587" w:rsidRDefault="00010013" w:rsidP="00AF332F">
            <w:pPr>
              <w:jc w:val="center"/>
              <w:rPr>
                <w:rFonts w:ascii="Garamond" w:hAnsi="Garamond"/>
                <w:color w:val="000000" w:themeColor="text1"/>
                <w:sz w:val="18"/>
                <w:szCs w:val="18"/>
              </w:rPr>
            </w:pPr>
          </w:p>
        </w:tc>
        <w:tc>
          <w:tcPr>
            <w:tcW w:w="1440" w:type="dxa"/>
            <w:vMerge/>
            <w:vAlign w:val="center"/>
          </w:tcPr>
          <w:p w14:paraId="4F4A2E6C" w14:textId="77777777" w:rsidR="00010013" w:rsidRPr="00520587" w:rsidRDefault="00010013" w:rsidP="00AF332F">
            <w:pPr>
              <w:jc w:val="center"/>
              <w:rPr>
                <w:rFonts w:ascii="Garamond" w:hAnsi="Garamond"/>
                <w:b/>
                <w:bCs/>
                <w:color w:val="000000" w:themeColor="text1"/>
                <w:sz w:val="18"/>
                <w:szCs w:val="18"/>
              </w:rPr>
            </w:pPr>
          </w:p>
        </w:tc>
        <w:tc>
          <w:tcPr>
            <w:tcW w:w="5271" w:type="dxa"/>
            <w:gridSpan w:val="3"/>
            <w:vAlign w:val="center"/>
          </w:tcPr>
          <w:p w14:paraId="27852B4B" w14:textId="03F9F103" w:rsidR="00010013" w:rsidRPr="00520587" w:rsidRDefault="00010013" w:rsidP="00995ED4">
            <w:pPr>
              <w:jc w:val="center"/>
              <w:rPr>
                <w:rFonts w:ascii="Garamond" w:hAnsi="Garamond"/>
                <w:b/>
                <w:bCs/>
                <w:color w:val="000000" w:themeColor="text1"/>
                <w:sz w:val="18"/>
                <w:szCs w:val="18"/>
              </w:rPr>
            </w:pPr>
            <w:r w:rsidRPr="00520587">
              <w:rPr>
                <w:rFonts w:ascii="Garamond" w:hAnsi="Garamond"/>
                <w:b/>
                <w:bCs/>
                <w:color w:val="000000" w:themeColor="text1"/>
                <w:sz w:val="18"/>
                <w:szCs w:val="18"/>
              </w:rPr>
              <w:t>Other Obligations</w:t>
            </w:r>
            <w:r w:rsidR="00995ED4" w:rsidRPr="00520587">
              <w:rPr>
                <w:rFonts w:ascii="Garamond" w:hAnsi="Garamond"/>
                <w:b/>
                <w:bCs/>
                <w:color w:val="000000" w:themeColor="text1"/>
                <w:sz w:val="18"/>
                <w:szCs w:val="18"/>
              </w:rPr>
              <w:t>/ Comments</w:t>
            </w:r>
          </w:p>
        </w:tc>
      </w:tr>
      <w:tr w:rsidR="00520587" w:rsidRPr="00520587" w14:paraId="668E3795" w14:textId="77777777" w:rsidTr="009E560B">
        <w:trPr>
          <w:trHeight w:val="953"/>
        </w:trPr>
        <w:tc>
          <w:tcPr>
            <w:tcW w:w="2875" w:type="dxa"/>
            <w:vMerge/>
            <w:vAlign w:val="center"/>
          </w:tcPr>
          <w:p w14:paraId="5E77A2C7" w14:textId="77777777" w:rsidR="00010013" w:rsidRPr="00520587" w:rsidRDefault="00010013" w:rsidP="00AF332F">
            <w:pPr>
              <w:jc w:val="center"/>
              <w:rPr>
                <w:rFonts w:ascii="Garamond" w:hAnsi="Garamond"/>
                <w:color w:val="000000" w:themeColor="text1"/>
                <w:sz w:val="18"/>
                <w:szCs w:val="18"/>
              </w:rPr>
            </w:pPr>
          </w:p>
        </w:tc>
        <w:tc>
          <w:tcPr>
            <w:tcW w:w="1440" w:type="dxa"/>
            <w:vMerge/>
            <w:vAlign w:val="center"/>
          </w:tcPr>
          <w:p w14:paraId="2EAC8203" w14:textId="77777777" w:rsidR="00010013" w:rsidRPr="00520587" w:rsidRDefault="00010013" w:rsidP="00AF332F">
            <w:pPr>
              <w:jc w:val="center"/>
              <w:rPr>
                <w:rFonts w:ascii="Garamond" w:hAnsi="Garamond"/>
                <w:b/>
                <w:bCs/>
                <w:color w:val="000000" w:themeColor="text1"/>
                <w:sz w:val="18"/>
                <w:szCs w:val="18"/>
              </w:rPr>
            </w:pPr>
          </w:p>
        </w:tc>
        <w:tc>
          <w:tcPr>
            <w:tcW w:w="5271" w:type="dxa"/>
            <w:gridSpan w:val="3"/>
            <w:vAlign w:val="center"/>
          </w:tcPr>
          <w:p w14:paraId="2B047F23" w14:textId="1A32488F" w:rsidR="00010013" w:rsidRPr="00520587" w:rsidRDefault="0054633F" w:rsidP="00171553">
            <w:pPr>
              <w:rPr>
                <w:rFonts w:ascii="Garamond" w:hAnsi="Garamond"/>
                <w:color w:val="000000" w:themeColor="text1"/>
                <w:sz w:val="18"/>
                <w:szCs w:val="18"/>
              </w:rPr>
            </w:pPr>
            <w:r w:rsidRPr="00520587">
              <w:rPr>
                <w:rFonts w:ascii="Garamond" w:hAnsi="Garamond"/>
                <w:color w:val="000000" w:themeColor="text1"/>
                <w:sz w:val="18"/>
                <w:szCs w:val="18"/>
              </w:rPr>
              <w:t>The Competition Act of 2012 gran</w:t>
            </w:r>
            <w:r w:rsidR="0005000E" w:rsidRPr="00520587">
              <w:rPr>
                <w:rFonts w:ascii="Garamond" w:hAnsi="Garamond"/>
                <w:color w:val="000000" w:themeColor="text1"/>
                <w:sz w:val="18"/>
                <w:szCs w:val="18"/>
              </w:rPr>
              <w:t xml:space="preserve">ted legal immunity to the Commission, its </w:t>
            </w:r>
            <w:r w:rsidR="00B3344E" w:rsidRPr="00520587">
              <w:rPr>
                <w:rFonts w:ascii="Garamond" w:hAnsi="Garamond"/>
                <w:color w:val="000000" w:themeColor="text1"/>
                <w:sz w:val="18"/>
                <w:szCs w:val="18"/>
              </w:rPr>
              <w:t>members</w:t>
            </w:r>
            <w:r w:rsidR="0005000E" w:rsidRPr="00520587">
              <w:rPr>
                <w:rFonts w:ascii="Garamond" w:hAnsi="Garamond"/>
                <w:color w:val="000000" w:themeColor="text1"/>
                <w:sz w:val="18"/>
                <w:szCs w:val="18"/>
              </w:rPr>
              <w:t>, officer</w:t>
            </w:r>
            <w:r w:rsidR="00B3344E" w:rsidRPr="00520587">
              <w:rPr>
                <w:rFonts w:ascii="Garamond" w:hAnsi="Garamond"/>
                <w:color w:val="000000" w:themeColor="text1"/>
                <w:sz w:val="18"/>
                <w:szCs w:val="18"/>
              </w:rPr>
              <w:t>s</w:t>
            </w:r>
            <w:r w:rsidR="00E20EA7" w:rsidRPr="00520587">
              <w:rPr>
                <w:rFonts w:ascii="Garamond" w:hAnsi="Garamond"/>
                <w:color w:val="000000" w:themeColor="text1"/>
                <w:sz w:val="18"/>
                <w:szCs w:val="18"/>
              </w:rPr>
              <w:t xml:space="preserve"> </w:t>
            </w:r>
            <w:r w:rsidR="0005000E" w:rsidRPr="00520587">
              <w:rPr>
                <w:rFonts w:ascii="Garamond" w:hAnsi="Garamond"/>
                <w:color w:val="000000" w:themeColor="text1"/>
                <w:sz w:val="18"/>
                <w:szCs w:val="18"/>
              </w:rPr>
              <w:t>and employees</w:t>
            </w:r>
            <w:r w:rsidR="00E20EA7" w:rsidRPr="00520587">
              <w:rPr>
                <w:rFonts w:ascii="Garamond" w:hAnsi="Garamond"/>
                <w:color w:val="000000" w:themeColor="text1"/>
                <w:sz w:val="18"/>
                <w:szCs w:val="18"/>
              </w:rPr>
              <w:t>,</w:t>
            </w:r>
            <w:r w:rsidR="0005000E" w:rsidRPr="00520587">
              <w:rPr>
                <w:rFonts w:ascii="Garamond" w:hAnsi="Garamond"/>
                <w:color w:val="000000" w:themeColor="text1"/>
                <w:sz w:val="18"/>
                <w:szCs w:val="18"/>
              </w:rPr>
              <w:t xml:space="preserve"> and to it</w:t>
            </w:r>
            <w:r w:rsidR="00E20EA7" w:rsidRPr="00520587">
              <w:rPr>
                <w:rFonts w:ascii="Garamond" w:hAnsi="Garamond"/>
                <w:color w:val="000000" w:themeColor="text1"/>
                <w:sz w:val="18"/>
                <w:szCs w:val="18"/>
              </w:rPr>
              <w:t>s</w:t>
            </w:r>
            <w:r w:rsidR="00B3344E" w:rsidRPr="00520587">
              <w:rPr>
                <w:rFonts w:ascii="Garamond" w:hAnsi="Garamond"/>
                <w:color w:val="000000" w:themeColor="text1"/>
                <w:sz w:val="18"/>
                <w:szCs w:val="18"/>
              </w:rPr>
              <w:t xml:space="preserve"> publication, report, or activity if such actions were taken in goof faith. See </w:t>
            </w:r>
            <w:r w:rsidR="000B3E79" w:rsidRPr="00520587">
              <w:rPr>
                <w:rStyle w:val="hgkelc"/>
                <w:rFonts w:ascii="Garamond" w:hAnsi="Garamond"/>
                <w:color w:val="000000" w:themeColor="text1"/>
                <w:sz w:val="18"/>
                <w:szCs w:val="18"/>
                <w:lang w:val="en"/>
              </w:rPr>
              <w:t>§41 of the Competition Act, 2012.</w:t>
            </w:r>
          </w:p>
        </w:tc>
      </w:tr>
    </w:tbl>
    <w:p w14:paraId="6D9BE28F" w14:textId="77777777" w:rsidR="002076AC" w:rsidRPr="00520587" w:rsidRDefault="002076AC">
      <w:pPr>
        <w:rPr>
          <w:rFonts w:ascii="Garamond" w:hAnsi="Garamond"/>
          <w:color w:val="000000" w:themeColor="text1"/>
        </w:rPr>
      </w:pPr>
    </w:p>
    <w:p w14:paraId="70A2E894" w14:textId="77777777" w:rsidR="00925A56" w:rsidRPr="00520587" w:rsidRDefault="00925A56">
      <w:pPr>
        <w:rPr>
          <w:rFonts w:ascii="Garamond" w:hAnsi="Garamond"/>
          <w:color w:val="000000" w:themeColor="text1"/>
        </w:rPr>
      </w:pPr>
    </w:p>
    <w:tbl>
      <w:tblPr>
        <w:tblStyle w:val="GridTable6Colorful"/>
        <w:tblW w:w="9355" w:type="dxa"/>
        <w:tblLayout w:type="fixed"/>
        <w:tblLook w:val="04A0" w:firstRow="1" w:lastRow="0" w:firstColumn="1" w:lastColumn="0" w:noHBand="0" w:noVBand="1"/>
      </w:tblPr>
      <w:tblGrid>
        <w:gridCol w:w="2875"/>
        <w:gridCol w:w="900"/>
        <w:gridCol w:w="540"/>
        <w:gridCol w:w="464"/>
        <w:gridCol w:w="4576"/>
      </w:tblGrid>
      <w:tr w:rsidR="00520587" w:rsidRPr="00520587" w14:paraId="4E7267BD" w14:textId="77777777" w:rsidTr="007B2245">
        <w:trPr>
          <w:cnfStyle w:val="100000000000" w:firstRow="1" w:lastRow="0" w:firstColumn="0" w:lastColumn="0" w:oddVBand="0" w:evenVBand="0" w:oddHBand="0"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2875" w:type="dxa"/>
          </w:tcPr>
          <w:p w14:paraId="70120954" w14:textId="77777777" w:rsidR="000B740A" w:rsidRPr="00520587" w:rsidRDefault="000B740A" w:rsidP="007D3013">
            <w:pPr>
              <w:jc w:val="center"/>
              <w:rPr>
                <w:rFonts w:ascii="Garamond" w:hAnsi="Garamond"/>
                <w:b w:val="0"/>
                <w:bCs w:val="0"/>
                <w:sz w:val="18"/>
                <w:szCs w:val="18"/>
              </w:rPr>
            </w:pPr>
            <w:r w:rsidRPr="00520587">
              <w:rPr>
                <w:rFonts w:ascii="Garamond" w:hAnsi="Garamond"/>
                <w:sz w:val="18"/>
                <w:szCs w:val="18"/>
              </w:rPr>
              <w:t xml:space="preserve">Independence </w:t>
            </w:r>
          </w:p>
        </w:tc>
        <w:tc>
          <w:tcPr>
            <w:tcW w:w="1440" w:type="dxa"/>
            <w:gridSpan w:val="2"/>
          </w:tcPr>
          <w:p w14:paraId="7EFCCEAE" w14:textId="77777777" w:rsidR="000B740A" w:rsidRPr="00520587" w:rsidRDefault="000B740A" w:rsidP="007D3013">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sz w:val="18"/>
                <w:szCs w:val="18"/>
              </w:rPr>
            </w:pPr>
            <w:r w:rsidRPr="00520587">
              <w:rPr>
                <w:rFonts w:ascii="Garamond" w:hAnsi="Garamond"/>
                <w:sz w:val="18"/>
                <w:szCs w:val="18"/>
              </w:rPr>
              <w:t>Yes/ No Answer</w:t>
            </w:r>
          </w:p>
        </w:tc>
        <w:tc>
          <w:tcPr>
            <w:tcW w:w="5040" w:type="dxa"/>
            <w:gridSpan w:val="2"/>
          </w:tcPr>
          <w:p w14:paraId="4391E105" w14:textId="77777777" w:rsidR="000B740A" w:rsidRPr="00520587" w:rsidRDefault="000B740A" w:rsidP="007D3013">
            <w:pPr>
              <w:jc w:val="center"/>
              <w:cnfStyle w:val="100000000000" w:firstRow="1" w:lastRow="0" w:firstColumn="0" w:lastColumn="0" w:oddVBand="0" w:evenVBand="0" w:oddHBand="0" w:evenHBand="0" w:firstRowFirstColumn="0" w:firstRowLastColumn="0" w:lastRowFirstColumn="0" w:lastRowLastColumn="0"/>
              <w:rPr>
                <w:rFonts w:ascii="Garamond" w:hAnsi="Garamond"/>
                <w:b w:val="0"/>
                <w:bCs w:val="0"/>
                <w:sz w:val="18"/>
                <w:szCs w:val="18"/>
              </w:rPr>
            </w:pPr>
            <w:r w:rsidRPr="00520587">
              <w:rPr>
                <w:rFonts w:ascii="Garamond" w:hAnsi="Garamond"/>
                <w:sz w:val="18"/>
                <w:szCs w:val="18"/>
              </w:rPr>
              <w:t>Description with Legal Provisions</w:t>
            </w:r>
          </w:p>
        </w:tc>
      </w:tr>
      <w:tr w:rsidR="00520587" w:rsidRPr="00520587" w14:paraId="7CCA75FB" w14:textId="77777777" w:rsidTr="00857374">
        <w:trPr>
          <w:cnfStyle w:val="000000100000" w:firstRow="0" w:lastRow="0" w:firstColumn="0" w:lastColumn="0" w:oddVBand="0" w:evenVBand="0" w:oddHBand="1" w:evenHBand="0" w:firstRowFirstColumn="0" w:firstRowLastColumn="0" w:lastRowFirstColumn="0" w:lastRowLastColumn="0"/>
          <w:trHeight w:val="780"/>
        </w:trPr>
        <w:tc>
          <w:tcPr>
            <w:cnfStyle w:val="001000000000" w:firstRow="0" w:lastRow="0" w:firstColumn="1" w:lastColumn="0" w:oddVBand="0" w:evenVBand="0" w:oddHBand="0" w:evenHBand="0" w:firstRowFirstColumn="0" w:firstRowLastColumn="0" w:lastRowFirstColumn="0" w:lastRowLastColumn="0"/>
            <w:tcW w:w="2875" w:type="dxa"/>
            <w:vMerge w:val="restart"/>
            <w:vAlign w:val="center"/>
          </w:tcPr>
          <w:p w14:paraId="16029F38" w14:textId="77777777" w:rsidR="000B740A" w:rsidRPr="00520587" w:rsidRDefault="000B740A" w:rsidP="008727EC">
            <w:pPr>
              <w:jc w:val="center"/>
              <w:rPr>
                <w:rFonts w:ascii="Garamond" w:hAnsi="Garamond"/>
                <w:b w:val="0"/>
                <w:bCs w:val="0"/>
                <w:sz w:val="18"/>
                <w:szCs w:val="18"/>
              </w:rPr>
            </w:pPr>
            <w:r w:rsidRPr="00520587">
              <w:rPr>
                <w:rFonts w:ascii="Garamond" w:hAnsi="Garamond"/>
                <w:b w:val="0"/>
                <w:bCs w:val="0"/>
                <w:sz w:val="18"/>
                <w:szCs w:val="18"/>
              </w:rPr>
              <w:lastRenderedPageBreak/>
              <w:t>Are the criteria for appointment and removal of the head/ board members clear and transparent?</w:t>
            </w:r>
          </w:p>
        </w:tc>
        <w:tc>
          <w:tcPr>
            <w:tcW w:w="1440" w:type="dxa"/>
            <w:gridSpan w:val="2"/>
            <w:vMerge w:val="restart"/>
            <w:vAlign w:val="center"/>
          </w:tcPr>
          <w:p w14:paraId="7DA2EDD9" w14:textId="77777777" w:rsidR="000B740A" w:rsidRPr="00520587" w:rsidRDefault="000B740A" w:rsidP="008727EC">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5040" w:type="dxa"/>
            <w:gridSpan w:val="2"/>
            <w:vAlign w:val="center"/>
          </w:tcPr>
          <w:p w14:paraId="6E8B9B1C" w14:textId="3B65C123" w:rsidR="000B740A" w:rsidRPr="00520587" w:rsidRDefault="000B740A" w:rsidP="008727EC">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[Please introduce the relevant provisions, and if the answer to this question is “no”, explain briefly why in your opinion the criteria are not clear or transparent]</w:t>
            </w:r>
          </w:p>
        </w:tc>
      </w:tr>
      <w:tr w:rsidR="00520587" w:rsidRPr="00520587" w14:paraId="25553132" w14:textId="77777777" w:rsidTr="00431552">
        <w:trPr>
          <w:trHeight w:val="431"/>
        </w:trPr>
        <w:tc>
          <w:tcPr>
            <w:cnfStyle w:val="001000000000" w:firstRow="0" w:lastRow="0" w:firstColumn="1" w:lastColumn="0" w:oddVBand="0" w:evenVBand="0" w:oddHBand="0" w:evenHBand="0" w:firstRowFirstColumn="0" w:firstRowLastColumn="0" w:lastRowFirstColumn="0" w:lastRowLastColumn="0"/>
            <w:tcW w:w="2875" w:type="dxa"/>
            <w:vMerge/>
            <w:vAlign w:val="center"/>
          </w:tcPr>
          <w:p w14:paraId="7E1D2547" w14:textId="77777777" w:rsidR="000B740A" w:rsidRPr="00520587" w:rsidRDefault="000B740A" w:rsidP="008727EC">
            <w:pPr>
              <w:jc w:val="center"/>
              <w:rPr>
                <w:rFonts w:ascii="Garamond" w:hAnsi="Garamond"/>
                <w:b w:val="0"/>
                <w:bCs w:val="0"/>
                <w:sz w:val="18"/>
                <w:szCs w:val="18"/>
              </w:rPr>
            </w:pPr>
          </w:p>
        </w:tc>
        <w:tc>
          <w:tcPr>
            <w:tcW w:w="1440" w:type="dxa"/>
            <w:gridSpan w:val="2"/>
            <w:vMerge/>
            <w:vAlign w:val="center"/>
          </w:tcPr>
          <w:p w14:paraId="3F2C01D0" w14:textId="77777777" w:rsidR="000B740A" w:rsidRPr="00520587" w:rsidRDefault="000B740A" w:rsidP="008727EC">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5040" w:type="dxa"/>
            <w:gridSpan w:val="2"/>
            <w:vAlign w:val="center"/>
          </w:tcPr>
          <w:p w14:paraId="3CD72939" w14:textId="0367CFDF" w:rsidR="000B740A" w:rsidRPr="00520587" w:rsidRDefault="006D0098" w:rsidP="00431552">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i/>
                <w:iCs/>
                <w:sz w:val="18"/>
                <w:szCs w:val="18"/>
              </w:rPr>
              <w:t>See</w:t>
            </w:r>
            <w:r w:rsidRPr="00520587">
              <w:rPr>
                <w:rFonts w:ascii="Garamond" w:hAnsi="Garamond"/>
                <w:sz w:val="18"/>
                <w:szCs w:val="18"/>
              </w:rPr>
              <w:t xml:space="preserve"> </w:t>
            </w:r>
            <w:r w:rsidRPr="00520587">
              <w:rPr>
                <w:rStyle w:val="hgkelc"/>
                <w:rFonts w:ascii="Garamond" w:hAnsi="Garamond"/>
                <w:sz w:val="18"/>
                <w:szCs w:val="18"/>
                <w:lang w:val="en"/>
              </w:rPr>
              <w:t xml:space="preserve">§7(3) &amp; </w:t>
            </w:r>
            <w:r w:rsidR="00431552" w:rsidRPr="00520587">
              <w:rPr>
                <w:rStyle w:val="hgkelc"/>
                <w:rFonts w:ascii="Garamond" w:hAnsi="Garamond"/>
                <w:sz w:val="18"/>
                <w:szCs w:val="18"/>
                <w:lang w:val="en"/>
              </w:rPr>
              <w:t>§9 of the Competition Act, 2012.</w:t>
            </w:r>
          </w:p>
        </w:tc>
      </w:tr>
      <w:tr w:rsidR="00520587" w:rsidRPr="00520587" w14:paraId="18DB4313" w14:textId="77777777" w:rsidTr="00857374">
        <w:trPr>
          <w:cnfStyle w:val="000000100000" w:firstRow="0" w:lastRow="0" w:firstColumn="0" w:lastColumn="0" w:oddVBand="0" w:evenVBand="0" w:oddHBand="1" w:evenHBand="0" w:firstRowFirstColumn="0" w:firstRowLastColumn="0" w:lastRowFirstColumn="0" w:lastRowLastColumn="0"/>
          <w:trHeight w:val="1142"/>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504D1B90" w14:textId="77777777" w:rsidR="000B740A" w:rsidRPr="00520587" w:rsidRDefault="000B740A" w:rsidP="008727EC">
            <w:pPr>
              <w:jc w:val="center"/>
              <w:rPr>
                <w:rFonts w:ascii="Garamond" w:hAnsi="Garamond"/>
                <w:b w:val="0"/>
                <w:bCs w:val="0"/>
                <w:sz w:val="18"/>
                <w:szCs w:val="18"/>
              </w:rPr>
            </w:pPr>
            <w:r w:rsidRPr="00520587">
              <w:rPr>
                <w:rFonts w:ascii="Garamond" w:hAnsi="Garamond"/>
                <w:b w:val="0"/>
                <w:bCs w:val="0"/>
                <w:sz w:val="18"/>
                <w:szCs w:val="18"/>
              </w:rPr>
              <w:t>Does the executive have powers to decide specific cases based on public interest?</w:t>
            </w:r>
          </w:p>
        </w:tc>
        <w:tc>
          <w:tcPr>
            <w:tcW w:w="1440" w:type="dxa"/>
            <w:gridSpan w:val="2"/>
            <w:vAlign w:val="center"/>
          </w:tcPr>
          <w:p w14:paraId="39273955" w14:textId="77777777" w:rsidR="000B740A" w:rsidRPr="00520587" w:rsidRDefault="000B740A" w:rsidP="008727EC">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No</w:t>
            </w:r>
          </w:p>
        </w:tc>
        <w:tc>
          <w:tcPr>
            <w:tcW w:w="5040" w:type="dxa"/>
            <w:gridSpan w:val="2"/>
            <w:vAlign w:val="center"/>
          </w:tcPr>
          <w:p w14:paraId="5C598AF3" w14:textId="49AF27FE" w:rsidR="000B740A" w:rsidRPr="00520587" w:rsidRDefault="000B740A" w:rsidP="008727EC">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[Please introduce the relevant provisions, and if the answer to the question is “yes”, explain in which cases the executive can decide on public interest bases]</w:t>
            </w:r>
          </w:p>
          <w:p w14:paraId="5E7AE75D" w14:textId="77777777" w:rsidR="00857374" w:rsidRPr="00520587" w:rsidRDefault="00857374" w:rsidP="008727EC">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p w14:paraId="30CF3970" w14:textId="2EC55DE2" w:rsidR="00857374" w:rsidRPr="00520587" w:rsidRDefault="00857374" w:rsidP="00857374">
            <w:pPr>
              <w:jc w:val="center"/>
              <w:cnfStyle w:val="000000100000" w:firstRow="0" w:lastRow="0" w:firstColumn="0" w:lastColumn="0" w:oddVBand="0" w:evenVBand="0" w:oddHBand="1" w:evenHBand="0" w:firstRowFirstColumn="0" w:firstRowLastColumn="0" w:lastRowFirstColumn="0" w:lastRowLastColumn="0"/>
              <w:rPr>
                <w:rFonts w:ascii="Garamond" w:hAnsi="Garamond"/>
                <w:b/>
                <w:bCs/>
                <w:sz w:val="18"/>
                <w:szCs w:val="18"/>
              </w:rPr>
            </w:pPr>
            <w:r w:rsidRPr="00520587">
              <w:rPr>
                <w:rFonts w:ascii="Garamond" w:hAnsi="Garamond"/>
                <w:b/>
                <w:bCs/>
                <w:sz w:val="18"/>
                <w:szCs w:val="18"/>
              </w:rPr>
              <w:t>N/A</w:t>
            </w:r>
          </w:p>
        </w:tc>
      </w:tr>
      <w:tr w:rsidR="00520587" w:rsidRPr="00520587" w14:paraId="7678692D" w14:textId="77777777" w:rsidTr="00DC232A">
        <w:trPr>
          <w:trHeight w:val="728"/>
        </w:trPr>
        <w:tc>
          <w:tcPr>
            <w:cnfStyle w:val="001000000000" w:firstRow="0" w:lastRow="0" w:firstColumn="1" w:lastColumn="0" w:oddVBand="0" w:evenVBand="0" w:oddHBand="0" w:evenHBand="0" w:firstRowFirstColumn="0" w:firstRowLastColumn="0" w:lastRowFirstColumn="0" w:lastRowLastColumn="0"/>
            <w:tcW w:w="2875" w:type="dxa"/>
            <w:vAlign w:val="center"/>
          </w:tcPr>
          <w:p w14:paraId="2EA8EB06" w14:textId="77777777" w:rsidR="000B740A" w:rsidRPr="00520587" w:rsidRDefault="000B740A" w:rsidP="008727EC">
            <w:pPr>
              <w:jc w:val="center"/>
              <w:rPr>
                <w:rFonts w:ascii="Garamond" w:hAnsi="Garamond"/>
                <w:b w:val="0"/>
                <w:bCs w:val="0"/>
                <w:sz w:val="18"/>
                <w:szCs w:val="18"/>
              </w:rPr>
            </w:pPr>
            <w:r w:rsidRPr="00520587">
              <w:rPr>
                <w:rFonts w:ascii="Garamond" w:hAnsi="Garamond"/>
                <w:b w:val="0"/>
                <w:bCs w:val="0"/>
                <w:sz w:val="18"/>
                <w:szCs w:val="18"/>
              </w:rPr>
              <w:t>Does the executive retain decision-making powers over the competition authority?</w:t>
            </w:r>
          </w:p>
        </w:tc>
        <w:tc>
          <w:tcPr>
            <w:tcW w:w="1440" w:type="dxa"/>
            <w:gridSpan w:val="2"/>
            <w:vAlign w:val="center"/>
          </w:tcPr>
          <w:p w14:paraId="214D04B9" w14:textId="77777777" w:rsidR="000B740A" w:rsidRPr="00520587" w:rsidRDefault="000B740A" w:rsidP="008727EC">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No</w:t>
            </w:r>
          </w:p>
        </w:tc>
        <w:tc>
          <w:tcPr>
            <w:tcW w:w="5040" w:type="dxa"/>
            <w:gridSpan w:val="2"/>
            <w:vAlign w:val="center"/>
          </w:tcPr>
          <w:p w14:paraId="22BAE1E2" w14:textId="77777777" w:rsidR="000B740A" w:rsidRPr="00520587" w:rsidRDefault="000B740A" w:rsidP="008727EC">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 w:val="18"/>
                <w:szCs w:val="18"/>
              </w:rPr>
            </w:pPr>
            <w:r w:rsidRPr="00520587">
              <w:rPr>
                <w:rFonts w:ascii="Garamond" w:hAnsi="Garamond"/>
                <w:b/>
                <w:bCs/>
                <w:sz w:val="18"/>
                <w:szCs w:val="18"/>
              </w:rPr>
              <w:t>N/A</w:t>
            </w:r>
          </w:p>
        </w:tc>
      </w:tr>
      <w:tr w:rsidR="00520587" w:rsidRPr="00520587" w14:paraId="5BFB1369" w14:textId="77777777" w:rsidTr="00DC232A">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875" w:type="dxa"/>
            <w:vMerge w:val="restart"/>
            <w:vAlign w:val="center"/>
          </w:tcPr>
          <w:p w14:paraId="0467C788" w14:textId="77777777" w:rsidR="000B740A" w:rsidRPr="00520587" w:rsidRDefault="000B740A" w:rsidP="008727EC">
            <w:pPr>
              <w:jc w:val="center"/>
              <w:rPr>
                <w:rFonts w:ascii="Garamond" w:hAnsi="Garamond"/>
                <w:b w:val="0"/>
                <w:bCs w:val="0"/>
                <w:sz w:val="18"/>
                <w:szCs w:val="18"/>
              </w:rPr>
            </w:pPr>
            <w:r w:rsidRPr="00520587">
              <w:rPr>
                <w:rFonts w:ascii="Garamond" w:hAnsi="Garamond"/>
                <w:b w:val="0"/>
                <w:bCs w:val="0"/>
                <w:sz w:val="18"/>
                <w:szCs w:val="18"/>
              </w:rPr>
              <w:t>Is the competition authority obliged to publish reasoned decisions to ensure transparency?</w:t>
            </w:r>
          </w:p>
        </w:tc>
        <w:tc>
          <w:tcPr>
            <w:tcW w:w="1440" w:type="dxa"/>
            <w:gridSpan w:val="2"/>
            <w:vMerge w:val="restart"/>
            <w:vAlign w:val="center"/>
          </w:tcPr>
          <w:p w14:paraId="1C5E5A57" w14:textId="77777777" w:rsidR="000B740A" w:rsidRPr="00520587" w:rsidRDefault="000B740A" w:rsidP="008727EC">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5040" w:type="dxa"/>
            <w:gridSpan w:val="2"/>
            <w:vAlign w:val="center"/>
          </w:tcPr>
          <w:p w14:paraId="6ABC7C57" w14:textId="5F9E11AA" w:rsidR="000B740A" w:rsidRPr="00520587" w:rsidRDefault="000B740A" w:rsidP="007B2245">
            <w:pPr>
              <w:spacing w:line="276" w:lineRule="auto"/>
              <w:cnfStyle w:val="000000100000" w:firstRow="0" w:lastRow="0" w:firstColumn="0" w:lastColumn="0" w:oddVBand="0" w:evenVBand="0" w:oddHBand="1" w:evenHBand="0" w:firstRowFirstColumn="0" w:firstRowLastColumn="0" w:lastRowFirstColumn="0" w:lastRowLastColumn="0"/>
              <w:rPr>
                <w:rFonts w:ascii="Garamond" w:hAnsi="Garamond"/>
                <w:i/>
                <w:sz w:val="18"/>
                <w:szCs w:val="18"/>
                <w:highlight w:val="green"/>
              </w:rPr>
            </w:pPr>
            <w:r w:rsidRPr="00520587">
              <w:rPr>
                <w:rFonts w:ascii="Garamond" w:hAnsi="Garamond"/>
                <w:i/>
                <w:sz w:val="18"/>
                <w:szCs w:val="18"/>
              </w:rPr>
              <w:t>[Please introduce the relevant provisions]</w:t>
            </w:r>
          </w:p>
        </w:tc>
      </w:tr>
      <w:tr w:rsidR="00520587" w:rsidRPr="00520587" w14:paraId="3DBCCCA3" w14:textId="77777777" w:rsidTr="00DC232A">
        <w:trPr>
          <w:trHeight w:val="1511"/>
        </w:trPr>
        <w:tc>
          <w:tcPr>
            <w:cnfStyle w:val="001000000000" w:firstRow="0" w:lastRow="0" w:firstColumn="1" w:lastColumn="0" w:oddVBand="0" w:evenVBand="0" w:oddHBand="0" w:evenHBand="0" w:firstRowFirstColumn="0" w:firstRowLastColumn="0" w:lastRowFirstColumn="0" w:lastRowLastColumn="0"/>
            <w:tcW w:w="2875" w:type="dxa"/>
            <w:vMerge/>
            <w:vAlign w:val="center"/>
          </w:tcPr>
          <w:p w14:paraId="4A247C02" w14:textId="77777777" w:rsidR="000B740A" w:rsidRPr="00520587" w:rsidRDefault="000B740A" w:rsidP="008727EC">
            <w:pPr>
              <w:jc w:val="center"/>
              <w:rPr>
                <w:rFonts w:ascii="Garamond" w:hAnsi="Garamond"/>
                <w:b w:val="0"/>
                <w:bCs w:val="0"/>
                <w:sz w:val="18"/>
                <w:szCs w:val="18"/>
              </w:rPr>
            </w:pPr>
          </w:p>
        </w:tc>
        <w:tc>
          <w:tcPr>
            <w:tcW w:w="1440" w:type="dxa"/>
            <w:gridSpan w:val="2"/>
            <w:vMerge/>
            <w:vAlign w:val="center"/>
          </w:tcPr>
          <w:p w14:paraId="74B642E6" w14:textId="77777777" w:rsidR="000B740A" w:rsidRPr="00520587" w:rsidRDefault="000B740A" w:rsidP="008727EC">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5040" w:type="dxa"/>
            <w:gridSpan w:val="2"/>
            <w:vAlign w:val="center"/>
          </w:tcPr>
          <w:p w14:paraId="0F315A28" w14:textId="56E4478E" w:rsidR="000B740A" w:rsidRPr="00520587" w:rsidRDefault="000B740A" w:rsidP="007B2245">
            <w:pPr>
              <w:cnfStyle w:val="000000000000" w:firstRow="0" w:lastRow="0" w:firstColumn="0" w:lastColumn="0" w:oddVBand="0" w:evenVBand="0" w:oddHBand="0" w:evenHBand="0" w:firstRowFirstColumn="0" w:firstRowLastColumn="0" w:lastRowFirstColumn="0" w:lastRowLastColumn="0"/>
              <w:rPr>
                <w:rStyle w:val="hgkelc"/>
                <w:rFonts w:ascii="Garamond" w:hAnsi="Garamond"/>
                <w:sz w:val="18"/>
                <w:szCs w:val="18"/>
                <w:lang w:val="en"/>
              </w:rPr>
            </w:pPr>
            <w:r w:rsidRPr="00520587">
              <w:rPr>
                <w:rFonts w:ascii="Garamond" w:hAnsi="Garamond"/>
                <w:sz w:val="18"/>
                <w:szCs w:val="18"/>
              </w:rPr>
              <w:t xml:space="preserve">See </w:t>
            </w:r>
            <w:r w:rsidRPr="00520587">
              <w:rPr>
                <w:rStyle w:val="hgkelc"/>
                <w:rFonts w:ascii="Garamond" w:hAnsi="Garamond"/>
                <w:sz w:val="18"/>
                <w:szCs w:val="18"/>
                <w:lang w:val="en"/>
              </w:rPr>
              <w:t>§§20-21 of the Competition Act, 2012.</w:t>
            </w:r>
          </w:p>
          <w:p w14:paraId="735C79E2" w14:textId="77777777" w:rsidR="000B740A" w:rsidRPr="00520587" w:rsidRDefault="000B740A" w:rsidP="007B2245">
            <w:pPr>
              <w:cnfStyle w:val="000000000000" w:firstRow="0" w:lastRow="0" w:firstColumn="0" w:lastColumn="0" w:oddVBand="0" w:evenVBand="0" w:oddHBand="0" w:evenHBand="0" w:firstRowFirstColumn="0" w:firstRowLastColumn="0" w:lastRowFirstColumn="0" w:lastRowLastColumn="0"/>
              <w:rPr>
                <w:rFonts w:ascii="Garamond" w:hAnsi="Garamond"/>
                <w:sz w:val="18"/>
                <w:szCs w:val="18"/>
                <w:highlight w:val="green"/>
              </w:rPr>
            </w:pPr>
            <w:r w:rsidRPr="00520587">
              <w:rPr>
                <w:rStyle w:val="hgkelc"/>
                <w:rFonts w:ascii="Garamond" w:hAnsi="Garamond"/>
                <w:sz w:val="18"/>
                <w:szCs w:val="18"/>
                <w:lang w:val="en"/>
              </w:rPr>
              <w:t>[The Commission, if is of opinion after an inquiry that any person has entered into an anti-competition agreement or misused or a combination causes or likely to cause an adverse effect on competition in the market of goods or services, shall restrict such activities`.]</w:t>
            </w:r>
          </w:p>
        </w:tc>
      </w:tr>
      <w:tr w:rsidR="00520587" w:rsidRPr="00520587" w14:paraId="19EEF3F2" w14:textId="77777777" w:rsidTr="00DC232A">
        <w:trPr>
          <w:cnfStyle w:val="000000100000" w:firstRow="0" w:lastRow="0" w:firstColumn="0" w:lastColumn="0" w:oddVBand="0" w:evenVBand="0" w:oddHBand="1" w:evenHBand="0" w:firstRowFirstColumn="0" w:firstRowLastColumn="0" w:lastRowFirstColumn="0" w:lastRowLastColumn="0"/>
          <w:trHeight w:val="710"/>
        </w:trPr>
        <w:tc>
          <w:tcPr>
            <w:cnfStyle w:val="001000000000" w:firstRow="0" w:lastRow="0" w:firstColumn="1" w:lastColumn="0" w:oddVBand="0" w:evenVBand="0" w:oddHBand="0" w:evenHBand="0" w:firstRowFirstColumn="0" w:firstRowLastColumn="0" w:lastRowFirstColumn="0" w:lastRowLastColumn="0"/>
            <w:tcW w:w="2875" w:type="dxa"/>
            <w:vMerge w:val="restart"/>
            <w:vAlign w:val="center"/>
          </w:tcPr>
          <w:p w14:paraId="0F0354AC" w14:textId="195E6740" w:rsidR="000B740A" w:rsidRPr="00520587" w:rsidRDefault="000B740A" w:rsidP="008727EC">
            <w:pPr>
              <w:jc w:val="center"/>
              <w:rPr>
                <w:rFonts w:ascii="Garamond" w:hAnsi="Garamond"/>
                <w:b w:val="0"/>
                <w:bCs w:val="0"/>
                <w:sz w:val="18"/>
                <w:szCs w:val="18"/>
              </w:rPr>
            </w:pPr>
            <w:r w:rsidRPr="00520587">
              <w:rPr>
                <w:rFonts w:ascii="Garamond" w:hAnsi="Garamond"/>
                <w:b w:val="0"/>
                <w:bCs w:val="0"/>
                <w:sz w:val="18"/>
                <w:szCs w:val="18"/>
              </w:rPr>
              <w:t>Is there a provision of the national budget allocated by law to the competition authority to ensure its proper functioning?</w:t>
            </w:r>
          </w:p>
        </w:tc>
        <w:tc>
          <w:tcPr>
            <w:tcW w:w="1440" w:type="dxa"/>
            <w:gridSpan w:val="2"/>
            <w:vMerge w:val="restart"/>
            <w:vAlign w:val="center"/>
          </w:tcPr>
          <w:p w14:paraId="0DD3FA97" w14:textId="77777777" w:rsidR="000B740A" w:rsidRPr="00520587" w:rsidRDefault="000B740A" w:rsidP="008727EC">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5040" w:type="dxa"/>
            <w:gridSpan w:val="2"/>
            <w:vAlign w:val="center"/>
          </w:tcPr>
          <w:p w14:paraId="18413DDD" w14:textId="77777777" w:rsidR="000B740A" w:rsidRPr="00520587" w:rsidRDefault="000B740A" w:rsidP="007B2245">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[Please introduce the relevant provisions and the budget assigned to the authority for the current year and the next if it is already approved]</w:t>
            </w:r>
          </w:p>
        </w:tc>
      </w:tr>
      <w:tr w:rsidR="00520587" w:rsidRPr="00520587" w14:paraId="737E5AD3" w14:textId="77777777" w:rsidTr="007B2245">
        <w:trPr>
          <w:trHeight w:val="1610"/>
        </w:trPr>
        <w:tc>
          <w:tcPr>
            <w:cnfStyle w:val="001000000000" w:firstRow="0" w:lastRow="0" w:firstColumn="1" w:lastColumn="0" w:oddVBand="0" w:evenVBand="0" w:oddHBand="0" w:evenHBand="0" w:firstRowFirstColumn="0" w:firstRowLastColumn="0" w:lastRowFirstColumn="0" w:lastRowLastColumn="0"/>
            <w:tcW w:w="2875" w:type="dxa"/>
            <w:vMerge/>
            <w:vAlign w:val="center"/>
          </w:tcPr>
          <w:p w14:paraId="7F114847" w14:textId="77777777" w:rsidR="000B740A" w:rsidRPr="00520587" w:rsidRDefault="000B740A" w:rsidP="008727EC">
            <w:pPr>
              <w:jc w:val="center"/>
              <w:rPr>
                <w:rFonts w:ascii="Garamond" w:hAnsi="Garamond"/>
                <w:b w:val="0"/>
                <w:bCs w:val="0"/>
                <w:sz w:val="18"/>
                <w:szCs w:val="18"/>
              </w:rPr>
            </w:pPr>
          </w:p>
        </w:tc>
        <w:tc>
          <w:tcPr>
            <w:tcW w:w="1440" w:type="dxa"/>
            <w:gridSpan w:val="2"/>
            <w:vMerge/>
            <w:vAlign w:val="center"/>
          </w:tcPr>
          <w:p w14:paraId="550EC2EE" w14:textId="77777777" w:rsidR="000B740A" w:rsidRPr="00520587" w:rsidRDefault="000B740A" w:rsidP="008727EC">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5040" w:type="dxa"/>
            <w:gridSpan w:val="2"/>
            <w:vAlign w:val="center"/>
          </w:tcPr>
          <w:p w14:paraId="3258F71C" w14:textId="35663B88" w:rsidR="000B740A" w:rsidRDefault="000B740A" w:rsidP="007B2245">
            <w:pPr>
              <w:pBdr>
                <w:top w:val="nil"/>
                <w:left w:val="nil"/>
                <w:bottom w:val="nil"/>
                <w:right w:val="nil"/>
                <w:between w:val="nil"/>
              </w:pBdr>
              <w:tabs>
                <w:tab w:val="left" w:pos="408"/>
              </w:tabs>
              <w:spacing w:line="276" w:lineRule="auto"/>
              <w:cnfStyle w:val="000000000000" w:firstRow="0" w:lastRow="0" w:firstColumn="0" w:lastColumn="0" w:oddVBand="0" w:evenVBand="0" w:oddHBand="0" w:evenHBand="0" w:firstRowFirstColumn="0" w:firstRowLastColumn="0" w:lastRowFirstColumn="0" w:lastRowLastColumn="0"/>
              <w:rPr>
                <w:rStyle w:val="hgkelc"/>
                <w:rFonts w:ascii="Garamond" w:hAnsi="Garamond"/>
                <w:sz w:val="18"/>
                <w:szCs w:val="18"/>
                <w:lang w:val="en"/>
              </w:rPr>
            </w:pPr>
            <w:r w:rsidRPr="00520587">
              <w:rPr>
                <w:rFonts w:ascii="Garamond" w:hAnsi="Garamond"/>
                <w:sz w:val="18"/>
                <w:szCs w:val="18"/>
              </w:rPr>
              <w:t xml:space="preserve">See </w:t>
            </w:r>
            <w:r w:rsidRPr="00520587">
              <w:rPr>
                <w:rStyle w:val="hgkelc"/>
                <w:rFonts w:ascii="Garamond" w:hAnsi="Garamond"/>
                <w:sz w:val="18"/>
                <w:szCs w:val="18"/>
                <w:lang w:val="en"/>
              </w:rPr>
              <w:t>§§31-32 of the Competition Act, 2012.</w:t>
            </w:r>
          </w:p>
          <w:p w14:paraId="2E069A83" w14:textId="77777777" w:rsidR="00342D61" w:rsidRPr="00520587" w:rsidRDefault="00342D61" w:rsidP="007B2245">
            <w:pPr>
              <w:pBdr>
                <w:top w:val="nil"/>
                <w:left w:val="nil"/>
                <w:bottom w:val="nil"/>
                <w:right w:val="nil"/>
                <w:between w:val="nil"/>
              </w:pBdr>
              <w:tabs>
                <w:tab w:val="left" w:pos="408"/>
              </w:tabs>
              <w:spacing w:line="276" w:lineRule="auto"/>
              <w:cnfStyle w:val="000000000000" w:firstRow="0" w:lastRow="0" w:firstColumn="0" w:lastColumn="0" w:oddVBand="0" w:evenVBand="0" w:oddHBand="0" w:evenHBand="0" w:firstRowFirstColumn="0" w:firstRowLastColumn="0" w:lastRowFirstColumn="0" w:lastRowLastColumn="0"/>
              <w:rPr>
                <w:rStyle w:val="hgkelc"/>
                <w:rFonts w:ascii="Garamond" w:hAnsi="Garamond"/>
                <w:sz w:val="18"/>
                <w:szCs w:val="18"/>
                <w:lang w:val="en"/>
              </w:rPr>
            </w:pPr>
          </w:p>
          <w:p w14:paraId="1A0CAE10" w14:textId="77777777" w:rsidR="000B740A" w:rsidRPr="00520587" w:rsidRDefault="000B740A" w:rsidP="007B2245">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[There shall be a fund of the Commission to be called the Competition Fund. The salary, allowances and other sums payable shall be paid, and other necessary expenses of the commission shall be met by the Fund. The Government shall allocate a specific amount of money for expenses to the Commission for every financial year.]</w:t>
            </w:r>
          </w:p>
        </w:tc>
      </w:tr>
      <w:tr w:rsidR="00520587" w:rsidRPr="00520587" w14:paraId="375B5EF0" w14:textId="77777777" w:rsidTr="006C46B6">
        <w:trPr>
          <w:cnfStyle w:val="000000100000" w:firstRow="0" w:lastRow="0" w:firstColumn="0" w:lastColumn="0" w:oddVBand="0" w:evenVBand="0" w:oddHBand="1"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2875" w:type="dxa"/>
            <w:vMerge w:val="restart"/>
            <w:vAlign w:val="center"/>
          </w:tcPr>
          <w:p w14:paraId="516F47A3" w14:textId="77777777" w:rsidR="000B740A" w:rsidRPr="00520587" w:rsidRDefault="000B740A" w:rsidP="008727EC">
            <w:pPr>
              <w:jc w:val="center"/>
              <w:rPr>
                <w:rFonts w:ascii="Garamond" w:hAnsi="Garamond"/>
                <w:b w:val="0"/>
                <w:bCs w:val="0"/>
                <w:sz w:val="18"/>
                <w:szCs w:val="18"/>
              </w:rPr>
            </w:pPr>
            <w:r w:rsidRPr="00520587">
              <w:rPr>
                <w:rFonts w:ascii="Garamond" w:hAnsi="Garamond"/>
                <w:b w:val="0"/>
                <w:bCs w:val="0"/>
                <w:sz w:val="18"/>
                <w:szCs w:val="18"/>
              </w:rPr>
              <w:t>Can the competition authority be financed by its own means (notification fees, fines etc.)?</w:t>
            </w:r>
          </w:p>
        </w:tc>
        <w:tc>
          <w:tcPr>
            <w:tcW w:w="1440" w:type="dxa"/>
            <w:gridSpan w:val="2"/>
            <w:vMerge w:val="restart"/>
            <w:vAlign w:val="center"/>
          </w:tcPr>
          <w:p w14:paraId="351C2323" w14:textId="77777777" w:rsidR="000B740A" w:rsidRPr="00520587" w:rsidRDefault="000B740A" w:rsidP="008727EC">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5040" w:type="dxa"/>
            <w:gridSpan w:val="2"/>
            <w:vAlign w:val="center"/>
          </w:tcPr>
          <w:p w14:paraId="137CD746" w14:textId="77777777" w:rsidR="000B740A" w:rsidRPr="00520587" w:rsidRDefault="000B740A" w:rsidP="007B2245">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[Please introduce the relevant provisions and mention the means by which the authority can be financed on its own]</w:t>
            </w:r>
          </w:p>
        </w:tc>
      </w:tr>
      <w:tr w:rsidR="00520587" w:rsidRPr="00520587" w14:paraId="2F8B7902" w14:textId="77777777" w:rsidTr="003C6B5D">
        <w:trPr>
          <w:trHeight w:val="971"/>
        </w:trPr>
        <w:tc>
          <w:tcPr>
            <w:cnfStyle w:val="001000000000" w:firstRow="0" w:lastRow="0" w:firstColumn="1" w:lastColumn="0" w:oddVBand="0" w:evenVBand="0" w:oddHBand="0" w:evenHBand="0" w:firstRowFirstColumn="0" w:firstRowLastColumn="0" w:lastRowFirstColumn="0" w:lastRowLastColumn="0"/>
            <w:tcW w:w="2875" w:type="dxa"/>
            <w:vMerge/>
          </w:tcPr>
          <w:p w14:paraId="4755F41B" w14:textId="77777777" w:rsidR="000B740A" w:rsidRPr="00520587" w:rsidRDefault="000B740A" w:rsidP="007D3013">
            <w:pPr>
              <w:jc w:val="center"/>
              <w:rPr>
                <w:rFonts w:ascii="Garamond" w:hAnsi="Garamond"/>
                <w:b w:val="0"/>
                <w:bCs w:val="0"/>
                <w:sz w:val="18"/>
                <w:szCs w:val="18"/>
              </w:rPr>
            </w:pPr>
          </w:p>
        </w:tc>
        <w:tc>
          <w:tcPr>
            <w:tcW w:w="1440" w:type="dxa"/>
            <w:gridSpan w:val="2"/>
            <w:vMerge/>
          </w:tcPr>
          <w:p w14:paraId="47827E42" w14:textId="77777777" w:rsidR="000B740A" w:rsidRPr="00520587" w:rsidRDefault="000B740A" w:rsidP="007D3013">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5040" w:type="dxa"/>
            <w:gridSpan w:val="2"/>
            <w:vAlign w:val="center"/>
          </w:tcPr>
          <w:p w14:paraId="74328AA2" w14:textId="77777777" w:rsidR="000B740A" w:rsidRPr="00520587" w:rsidRDefault="000B740A" w:rsidP="006C46B6">
            <w:pPr>
              <w:jc w:val="center"/>
              <w:cnfStyle w:val="000000000000" w:firstRow="0" w:lastRow="0" w:firstColumn="0" w:lastColumn="0" w:oddVBand="0" w:evenVBand="0" w:oddHBand="0" w:evenHBand="0" w:firstRowFirstColumn="0" w:firstRowLastColumn="0" w:lastRowFirstColumn="0" w:lastRowLastColumn="0"/>
              <w:rPr>
                <w:rStyle w:val="hgkelc"/>
                <w:rFonts w:ascii="Garamond" w:hAnsi="Garamond"/>
                <w:b/>
                <w:bCs/>
                <w:sz w:val="18"/>
                <w:szCs w:val="18"/>
                <w:lang w:val="en"/>
              </w:rPr>
            </w:pPr>
            <w:r w:rsidRPr="00520587">
              <w:rPr>
                <w:rFonts w:ascii="Garamond" w:hAnsi="Garamond"/>
                <w:b/>
                <w:bCs/>
                <w:sz w:val="18"/>
                <w:szCs w:val="18"/>
              </w:rPr>
              <w:t xml:space="preserve">See </w:t>
            </w:r>
            <w:r w:rsidRPr="00520587">
              <w:rPr>
                <w:rStyle w:val="hgkelc"/>
                <w:rFonts w:ascii="Garamond" w:hAnsi="Garamond"/>
                <w:b/>
                <w:bCs/>
                <w:sz w:val="18"/>
                <w:szCs w:val="18"/>
                <w:lang w:val="en"/>
              </w:rPr>
              <w:t>§31(3) of the Competition Act, 2012.</w:t>
            </w:r>
          </w:p>
          <w:p w14:paraId="51FD4ED4" w14:textId="77777777" w:rsidR="000B740A" w:rsidRPr="00342D61" w:rsidRDefault="000B740A" w:rsidP="006C46B6">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342D61">
              <w:rPr>
                <w:rStyle w:val="hgkelc"/>
                <w:rFonts w:ascii="Garamond" w:hAnsi="Garamond"/>
                <w:lang w:val="en"/>
              </w:rPr>
              <w:t>[</w:t>
            </w:r>
            <w:r w:rsidRPr="00342D61">
              <w:rPr>
                <w:rFonts w:ascii="Garamond" w:hAnsi="Garamond"/>
                <w:sz w:val="18"/>
                <w:szCs w:val="18"/>
              </w:rPr>
              <w:t>The Commission can finance itself by the money received as fees, charges, or interests of the money deposited in the bank or any other non-prohibited sources.]</w:t>
            </w:r>
          </w:p>
          <w:p w14:paraId="7DC5FD18" w14:textId="77777777" w:rsidR="000B740A" w:rsidRPr="00520587" w:rsidRDefault="000B740A" w:rsidP="006C46B6">
            <w:pPr>
              <w:cnfStyle w:val="000000000000" w:firstRow="0" w:lastRow="0" w:firstColumn="0" w:lastColumn="0" w:oddVBand="0" w:evenVBand="0" w:oddHBand="0" w:evenHBand="0" w:firstRowFirstColumn="0" w:firstRowLastColumn="0" w:lastRowFirstColumn="0" w:lastRowLastColumn="0"/>
              <w:rPr>
                <w:rFonts w:ascii="Garamond" w:hAnsi="Garamond"/>
                <w:sz w:val="18"/>
                <w:szCs w:val="18"/>
                <w:highlight w:val="green"/>
              </w:rPr>
            </w:pPr>
          </w:p>
        </w:tc>
      </w:tr>
      <w:tr w:rsidR="00520587" w:rsidRPr="00520587" w14:paraId="16C619D8" w14:textId="77777777" w:rsidTr="00D44F14">
        <w:trPr>
          <w:cnfStyle w:val="000000100000" w:firstRow="0" w:lastRow="0" w:firstColumn="0" w:lastColumn="0" w:oddVBand="0" w:evenVBand="0" w:oddHBand="1" w:evenHBand="0" w:firstRowFirstColumn="0" w:firstRowLastColumn="0" w:lastRowFirstColumn="0" w:lastRowLastColumn="0"/>
          <w:trHeight w:val="593"/>
        </w:trPr>
        <w:tc>
          <w:tcPr>
            <w:cnfStyle w:val="001000000000" w:firstRow="0" w:lastRow="0" w:firstColumn="1" w:lastColumn="0" w:oddVBand="0" w:evenVBand="0" w:oddHBand="0" w:evenHBand="0" w:firstRowFirstColumn="0" w:firstRowLastColumn="0" w:lastRowFirstColumn="0" w:lastRowLastColumn="0"/>
            <w:tcW w:w="9355" w:type="dxa"/>
            <w:gridSpan w:val="5"/>
            <w:vAlign w:val="center"/>
          </w:tcPr>
          <w:p w14:paraId="071B613F" w14:textId="77777777" w:rsidR="00EB09A7" w:rsidRPr="00520587" w:rsidRDefault="00EB09A7" w:rsidP="00EB09A7">
            <w:pPr>
              <w:pStyle w:val="ListParagraph"/>
              <w:ind w:left="288"/>
              <w:jc w:val="center"/>
              <w:rPr>
                <w:rFonts w:ascii="Garamond" w:hAnsi="Garamond"/>
                <w:b w:val="0"/>
                <w:bCs w:val="0"/>
                <w:smallCaps/>
                <w:sz w:val="22"/>
                <w:szCs w:val="22"/>
              </w:rPr>
            </w:pPr>
            <w:r w:rsidRPr="00520587">
              <w:rPr>
                <w:rFonts w:ascii="Garamond" w:hAnsi="Garamond"/>
                <w:smallCaps/>
                <w:sz w:val="22"/>
                <w:szCs w:val="22"/>
              </w:rPr>
              <w:t>Governance of the Competition</w:t>
            </w:r>
          </w:p>
          <w:p w14:paraId="57CAB672" w14:textId="406E52E7" w:rsidR="008727EC" w:rsidRPr="00520587" w:rsidRDefault="00EB09A7" w:rsidP="00EB09A7">
            <w:pPr>
              <w:jc w:val="center"/>
              <w:rPr>
                <w:rFonts w:ascii="Garamond" w:hAnsi="Garamond"/>
                <w:b w:val="0"/>
                <w:bCs w:val="0"/>
              </w:rPr>
            </w:pPr>
            <w:r w:rsidRPr="00520587">
              <w:rPr>
                <w:rFonts w:ascii="Garamond" w:hAnsi="Garamond"/>
                <w:smallCaps/>
                <w:sz w:val="22"/>
                <w:szCs w:val="22"/>
              </w:rPr>
              <w:t>Authority</w:t>
            </w:r>
          </w:p>
        </w:tc>
      </w:tr>
      <w:tr w:rsidR="00520587" w:rsidRPr="00520587" w14:paraId="250DE7F0" w14:textId="77777777" w:rsidTr="00CE181A">
        <w:trPr>
          <w:trHeight w:val="1241"/>
        </w:trPr>
        <w:tc>
          <w:tcPr>
            <w:cnfStyle w:val="001000000000" w:firstRow="0" w:lastRow="0" w:firstColumn="1" w:lastColumn="0" w:oddVBand="0" w:evenVBand="0" w:oddHBand="0" w:evenHBand="0" w:firstRowFirstColumn="0" w:firstRowLastColumn="0" w:lastRowFirstColumn="0" w:lastRowLastColumn="0"/>
            <w:tcW w:w="3775" w:type="dxa"/>
            <w:gridSpan w:val="2"/>
            <w:vMerge w:val="restart"/>
            <w:vAlign w:val="center"/>
          </w:tcPr>
          <w:p w14:paraId="48DA328F" w14:textId="7EEDC0EA" w:rsidR="007332D0" w:rsidRPr="00520587" w:rsidRDefault="007332D0" w:rsidP="00C30A7E">
            <w:pPr>
              <w:jc w:val="center"/>
              <w:rPr>
                <w:rFonts w:ascii="Garamond" w:hAnsi="Garamond"/>
                <w:b w:val="0"/>
                <w:bCs w:val="0"/>
              </w:rPr>
            </w:pPr>
            <w:r w:rsidRPr="00520587">
              <w:rPr>
                <w:rFonts w:ascii="Garamond" w:hAnsi="Garamond"/>
                <w:b w:val="0"/>
                <w:bCs w:val="0"/>
                <w:sz w:val="18"/>
                <w:szCs w:val="18"/>
              </w:rPr>
              <w:t>Is the Competition Authority governed by a single chairman or by a collegiate body?</w:t>
            </w:r>
          </w:p>
        </w:tc>
        <w:tc>
          <w:tcPr>
            <w:tcW w:w="5580" w:type="dxa"/>
            <w:gridSpan w:val="3"/>
            <w:tcBorders>
              <w:bottom w:val="single" w:sz="4" w:space="0" w:color="auto"/>
            </w:tcBorders>
            <w:vAlign w:val="center"/>
          </w:tcPr>
          <w:p w14:paraId="68BF0EF5" w14:textId="041B8367" w:rsidR="007332D0" w:rsidRPr="00520587" w:rsidRDefault="00520587" w:rsidP="007332D0">
            <w:pPr>
              <w:spacing w:after="80"/>
              <w:cnfStyle w:val="000000000000" w:firstRow="0" w:lastRow="0" w:firstColumn="0" w:lastColumn="0" w:oddVBand="0" w:evenVBand="0" w:oddHBand="0" w:evenHBand="0" w:firstRowFirstColumn="0" w:firstRowLastColumn="0" w:lastRowFirstColumn="0" w:lastRowLastColumn="0"/>
              <w:rPr>
                <w:rFonts w:ascii="Garamond" w:hAnsi="Garamond"/>
                <w:i/>
                <w:sz w:val="18"/>
                <w:szCs w:val="18"/>
              </w:rPr>
            </w:pPr>
            <w:r w:rsidRPr="00520587">
              <w:rPr>
                <w:rFonts w:ascii="Garamond" w:hAnsi="Garamond"/>
                <w:i/>
                <w:sz w:val="18"/>
                <w:szCs w:val="18"/>
              </w:rPr>
              <w:t>[</w:t>
            </w:r>
            <w:r w:rsidR="007332D0" w:rsidRPr="00520587">
              <w:rPr>
                <w:rFonts w:ascii="Garamond" w:hAnsi="Garamond"/>
                <w:i/>
                <w:sz w:val="18"/>
                <w:szCs w:val="18"/>
              </w:rPr>
              <w:t>Answer “single chairman” if the directive organ of the authority is composed of one person</w:t>
            </w:r>
            <w:r w:rsidRPr="00520587">
              <w:rPr>
                <w:rFonts w:ascii="Garamond" w:hAnsi="Garamond"/>
                <w:i/>
                <w:sz w:val="18"/>
                <w:szCs w:val="18"/>
              </w:rPr>
              <w:t>]</w:t>
            </w:r>
          </w:p>
          <w:p w14:paraId="75D26F8A" w14:textId="311AC953" w:rsidR="007332D0" w:rsidRPr="00520587" w:rsidRDefault="00520587" w:rsidP="007332D0">
            <w:pPr>
              <w:cnfStyle w:val="000000000000" w:firstRow="0" w:lastRow="0" w:firstColumn="0" w:lastColumn="0" w:oddVBand="0" w:evenVBand="0" w:oddHBand="0" w:evenHBand="0" w:firstRowFirstColumn="0" w:firstRowLastColumn="0" w:lastRowFirstColumn="0" w:lastRowLastColumn="0"/>
              <w:rPr>
                <w:rFonts w:ascii="Garamond" w:hAnsi="Garamond"/>
              </w:rPr>
            </w:pPr>
            <w:r w:rsidRPr="00520587">
              <w:rPr>
                <w:rFonts w:ascii="Garamond" w:hAnsi="Garamond"/>
                <w:i/>
                <w:sz w:val="18"/>
                <w:szCs w:val="18"/>
              </w:rPr>
              <w:t>[</w:t>
            </w:r>
            <w:r w:rsidR="007332D0" w:rsidRPr="00520587">
              <w:rPr>
                <w:rFonts w:ascii="Garamond" w:hAnsi="Garamond"/>
                <w:i/>
                <w:sz w:val="18"/>
                <w:szCs w:val="18"/>
              </w:rPr>
              <w:t>Answer “collegiate body” if the authority's directive organ is composed of two or more members, regardless if this organ is directed or presided by a chairman or president</w:t>
            </w:r>
            <w:r w:rsidRPr="00520587">
              <w:rPr>
                <w:rFonts w:ascii="Garamond" w:hAnsi="Garamond"/>
                <w:i/>
                <w:sz w:val="18"/>
                <w:szCs w:val="18"/>
              </w:rPr>
              <w:t>]</w:t>
            </w:r>
          </w:p>
        </w:tc>
      </w:tr>
      <w:tr w:rsidR="00520587" w:rsidRPr="00520587" w14:paraId="106C685A" w14:textId="77777777" w:rsidTr="00B63B02">
        <w:trPr>
          <w:cnfStyle w:val="000000100000" w:firstRow="0" w:lastRow="0" w:firstColumn="0" w:lastColumn="0" w:oddVBand="0" w:evenVBand="0" w:oddHBand="1" w:evenHBand="0" w:firstRowFirstColumn="0" w:firstRowLastColumn="0" w:lastRowFirstColumn="0" w:lastRowLastColumn="0"/>
          <w:trHeight w:val="1034"/>
        </w:trPr>
        <w:tc>
          <w:tcPr>
            <w:cnfStyle w:val="001000000000" w:firstRow="0" w:lastRow="0" w:firstColumn="1" w:lastColumn="0" w:oddVBand="0" w:evenVBand="0" w:oddHBand="0" w:evenHBand="0" w:firstRowFirstColumn="0" w:firstRowLastColumn="0" w:lastRowFirstColumn="0" w:lastRowLastColumn="0"/>
            <w:tcW w:w="3775" w:type="dxa"/>
            <w:gridSpan w:val="2"/>
            <w:vMerge/>
            <w:vAlign w:val="center"/>
          </w:tcPr>
          <w:p w14:paraId="17FFD210" w14:textId="77777777" w:rsidR="007332D0" w:rsidRPr="00520587" w:rsidRDefault="007332D0" w:rsidP="00C30A7E">
            <w:pPr>
              <w:jc w:val="center"/>
              <w:rPr>
                <w:rFonts w:ascii="Garamond" w:hAnsi="Garamond"/>
                <w:b w:val="0"/>
                <w:bCs w:val="0"/>
                <w:sz w:val="18"/>
                <w:szCs w:val="18"/>
              </w:rPr>
            </w:pPr>
          </w:p>
        </w:tc>
        <w:tc>
          <w:tcPr>
            <w:tcW w:w="5580" w:type="dxa"/>
            <w:gridSpan w:val="3"/>
            <w:tcBorders>
              <w:top w:val="single" w:sz="4" w:space="0" w:color="auto"/>
            </w:tcBorders>
            <w:vAlign w:val="center"/>
          </w:tcPr>
          <w:p w14:paraId="7A92D6F7" w14:textId="77777777" w:rsidR="00A075D1" w:rsidRPr="00520587" w:rsidRDefault="00A075D1" w:rsidP="00A075D1">
            <w:pPr>
              <w:jc w:val="center"/>
              <w:cnfStyle w:val="000000100000" w:firstRow="0" w:lastRow="0" w:firstColumn="0" w:lastColumn="0" w:oddVBand="0" w:evenVBand="0" w:oddHBand="1" w:evenHBand="0" w:firstRowFirstColumn="0" w:firstRowLastColumn="0" w:lastRowFirstColumn="0" w:lastRowLastColumn="0"/>
              <w:rPr>
                <w:rFonts w:ascii="Garamond" w:hAnsi="Garamond"/>
                <w:b/>
                <w:bCs/>
                <w:sz w:val="18"/>
                <w:szCs w:val="18"/>
              </w:rPr>
            </w:pPr>
            <w:r w:rsidRPr="00520587">
              <w:rPr>
                <w:rFonts w:ascii="Garamond" w:hAnsi="Garamond"/>
                <w:b/>
                <w:bCs/>
                <w:sz w:val="18"/>
                <w:szCs w:val="18"/>
              </w:rPr>
              <w:t>Collegiate Body</w:t>
            </w:r>
          </w:p>
          <w:p w14:paraId="4C2A5E31" w14:textId="7C581DF7" w:rsidR="007332D0" w:rsidRPr="00520587" w:rsidRDefault="00A075D1" w:rsidP="00A075D1">
            <w:pPr>
              <w:cnfStyle w:val="000000100000" w:firstRow="0" w:lastRow="0" w:firstColumn="0" w:lastColumn="0" w:oddVBand="0" w:evenVBand="0" w:oddHBand="1" w:evenHBand="0" w:firstRowFirstColumn="0" w:firstRowLastColumn="0" w:lastRowFirstColumn="0" w:lastRowLastColumn="0"/>
              <w:rPr>
                <w:rFonts w:ascii="Garamond" w:hAnsi="Garamond"/>
              </w:rPr>
            </w:pPr>
            <w:r w:rsidRPr="00520587">
              <w:rPr>
                <w:rFonts w:ascii="Garamond" w:hAnsi="Garamond"/>
                <w:sz w:val="18"/>
                <w:szCs w:val="18"/>
              </w:rPr>
              <w:t xml:space="preserve">The Commission shall consist of one Chairperson and not more than four (4) members appointed by the Government. The Chairperson shall be the Chief Executive of the Commission. See </w:t>
            </w:r>
            <w:r w:rsidRPr="00520587">
              <w:rPr>
                <w:rStyle w:val="hgkelc"/>
                <w:rFonts w:ascii="Garamond" w:hAnsi="Garamond"/>
                <w:sz w:val="18"/>
                <w:szCs w:val="18"/>
                <w:lang w:val="en"/>
              </w:rPr>
              <w:t>§7 of the Competition Act, 2012.</w:t>
            </w:r>
          </w:p>
        </w:tc>
      </w:tr>
      <w:tr w:rsidR="00520587" w:rsidRPr="00520587" w14:paraId="44523D8B" w14:textId="77777777" w:rsidTr="00CE181A">
        <w:trPr>
          <w:trHeight w:val="701"/>
        </w:trPr>
        <w:tc>
          <w:tcPr>
            <w:cnfStyle w:val="001000000000" w:firstRow="0" w:lastRow="0" w:firstColumn="1" w:lastColumn="0" w:oddVBand="0" w:evenVBand="0" w:oddHBand="0" w:evenHBand="0" w:firstRowFirstColumn="0" w:firstRowLastColumn="0" w:lastRowFirstColumn="0" w:lastRowLastColumn="0"/>
            <w:tcW w:w="3775" w:type="dxa"/>
            <w:gridSpan w:val="2"/>
            <w:vMerge w:val="restart"/>
            <w:vAlign w:val="center"/>
          </w:tcPr>
          <w:p w14:paraId="21879DC2" w14:textId="71AC2B06" w:rsidR="00A62701" w:rsidRPr="00520587" w:rsidRDefault="00A62701" w:rsidP="00A62701">
            <w:pPr>
              <w:jc w:val="center"/>
              <w:rPr>
                <w:rFonts w:ascii="Garamond" w:hAnsi="Garamond"/>
                <w:b w:val="0"/>
                <w:bCs w:val="0"/>
              </w:rPr>
            </w:pPr>
            <w:r w:rsidRPr="00520587">
              <w:rPr>
                <w:rFonts w:ascii="Garamond" w:hAnsi="Garamond"/>
                <w:b w:val="0"/>
                <w:bCs w:val="0"/>
                <w:sz w:val="18"/>
                <w:szCs w:val="18"/>
              </w:rPr>
              <w:t>How are the members of the Authority’s directive organ chosen?</w:t>
            </w:r>
          </w:p>
        </w:tc>
        <w:tc>
          <w:tcPr>
            <w:tcW w:w="5580" w:type="dxa"/>
            <w:gridSpan w:val="3"/>
            <w:tcBorders>
              <w:bottom w:val="single" w:sz="4" w:space="0" w:color="auto"/>
            </w:tcBorders>
            <w:vAlign w:val="center"/>
          </w:tcPr>
          <w:p w14:paraId="6ABBDE76" w14:textId="56EA57F1" w:rsidR="00A62701" w:rsidRPr="00520587" w:rsidRDefault="00A62701" w:rsidP="00A62701">
            <w:pPr>
              <w:cnfStyle w:val="000000000000" w:firstRow="0" w:lastRow="0" w:firstColumn="0" w:lastColumn="0" w:oddVBand="0" w:evenVBand="0" w:oddHBand="0" w:evenHBand="0" w:firstRowFirstColumn="0" w:firstRowLastColumn="0" w:lastRowFirstColumn="0" w:lastRowLastColumn="0"/>
              <w:rPr>
                <w:rFonts w:ascii="Garamond" w:hAnsi="Garamond"/>
                <w:i/>
                <w:sz w:val="18"/>
                <w:szCs w:val="18"/>
              </w:rPr>
            </w:pPr>
            <w:r w:rsidRPr="00520587">
              <w:rPr>
                <w:rFonts w:ascii="Garamond" w:hAnsi="Garamond"/>
                <w:i/>
                <w:sz w:val="18"/>
                <w:szCs w:val="18"/>
              </w:rPr>
              <w:t>[Please describe the electing process for choosing the members of the directive organ. Include relevant provisions; mention the branch of the government involved in this process]</w:t>
            </w:r>
          </w:p>
        </w:tc>
      </w:tr>
      <w:tr w:rsidR="00520587" w:rsidRPr="00520587" w14:paraId="271F58E7" w14:textId="77777777" w:rsidTr="00CE181A">
        <w:trPr>
          <w:cnfStyle w:val="000000100000" w:firstRow="0" w:lastRow="0" w:firstColumn="0" w:lastColumn="0" w:oddVBand="0" w:evenVBand="0" w:oddHBand="1" w:evenHBand="0" w:firstRowFirstColumn="0" w:firstRowLastColumn="0" w:lastRowFirstColumn="0" w:lastRowLastColumn="0"/>
          <w:trHeight w:val="539"/>
        </w:trPr>
        <w:tc>
          <w:tcPr>
            <w:cnfStyle w:val="001000000000" w:firstRow="0" w:lastRow="0" w:firstColumn="1" w:lastColumn="0" w:oddVBand="0" w:evenVBand="0" w:oddHBand="0" w:evenHBand="0" w:firstRowFirstColumn="0" w:firstRowLastColumn="0" w:lastRowFirstColumn="0" w:lastRowLastColumn="0"/>
            <w:tcW w:w="3775" w:type="dxa"/>
            <w:gridSpan w:val="2"/>
            <w:vMerge/>
            <w:vAlign w:val="center"/>
          </w:tcPr>
          <w:p w14:paraId="225FD613" w14:textId="77777777" w:rsidR="00A62701" w:rsidRPr="00520587" w:rsidRDefault="00A62701" w:rsidP="00A62701">
            <w:pPr>
              <w:jc w:val="center"/>
              <w:rPr>
                <w:rFonts w:ascii="Garamond" w:hAnsi="Garamond"/>
                <w:b w:val="0"/>
                <w:bCs w:val="0"/>
                <w:sz w:val="18"/>
                <w:szCs w:val="18"/>
              </w:rPr>
            </w:pPr>
          </w:p>
        </w:tc>
        <w:tc>
          <w:tcPr>
            <w:tcW w:w="5580" w:type="dxa"/>
            <w:gridSpan w:val="3"/>
            <w:tcBorders>
              <w:top w:val="single" w:sz="4" w:space="0" w:color="auto"/>
            </w:tcBorders>
            <w:vAlign w:val="center"/>
          </w:tcPr>
          <w:p w14:paraId="796BBCA3" w14:textId="77777777" w:rsidR="007443E5" w:rsidRPr="00520587" w:rsidRDefault="006747D3" w:rsidP="007443E5">
            <w:pPr>
              <w:spacing w:after="80"/>
              <w:cnfStyle w:val="000000100000" w:firstRow="0" w:lastRow="0" w:firstColumn="0" w:lastColumn="0" w:oddVBand="0" w:evenVBand="0" w:oddHBand="1" w:evenHBand="0" w:firstRowFirstColumn="0" w:firstRowLastColumn="0" w:lastRowFirstColumn="0" w:lastRowLastColumn="0"/>
              <w:rPr>
                <w:rStyle w:val="hgkelc"/>
                <w:rFonts w:ascii="Garamond" w:hAnsi="Garamond"/>
                <w:sz w:val="18"/>
                <w:szCs w:val="18"/>
                <w:lang w:val="en"/>
              </w:rPr>
            </w:pPr>
            <w:r w:rsidRPr="00520587">
              <w:rPr>
                <w:rFonts w:ascii="Garamond" w:hAnsi="Garamond"/>
                <w:sz w:val="18"/>
                <w:szCs w:val="18"/>
              </w:rPr>
              <w:t xml:space="preserve">The members of the Commission shall be appointed by the Government. See </w:t>
            </w:r>
            <w:r w:rsidRPr="00520587">
              <w:rPr>
                <w:rStyle w:val="hgkelc"/>
                <w:rFonts w:ascii="Garamond" w:hAnsi="Garamond"/>
                <w:sz w:val="18"/>
                <w:szCs w:val="18"/>
                <w:lang w:val="en"/>
              </w:rPr>
              <w:t xml:space="preserve">§7(2) of the Competition Act, 2012. </w:t>
            </w:r>
          </w:p>
          <w:p w14:paraId="746858C3" w14:textId="77777777" w:rsidR="007443E5" w:rsidRPr="00520587" w:rsidRDefault="00490934" w:rsidP="007443E5">
            <w:pPr>
              <w:spacing w:after="80"/>
              <w:cnfStyle w:val="000000100000" w:firstRow="0" w:lastRow="0" w:firstColumn="0" w:lastColumn="0" w:oddVBand="0" w:evenVBand="0" w:oddHBand="1" w:evenHBand="0" w:firstRowFirstColumn="0" w:firstRowLastColumn="0" w:lastRowFirstColumn="0" w:lastRowLastColumn="0"/>
              <w:rPr>
                <w:rStyle w:val="hgkelc"/>
                <w:rFonts w:ascii="Garamond" w:hAnsi="Garamond"/>
                <w:sz w:val="18"/>
                <w:szCs w:val="18"/>
                <w:lang w:val="en"/>
              </w:rPr>
            </w:pPr>
            <w:r w:rsidRPr="00520587">
              <w:rPr>
                <w:rStyle w:val="hgkelc"/>
                <w:rFonts w:ascii="Garamond" w:hAnsi="Garamond"/>
                <w:sz w:val="18"/>
                <w:szCs w:val="18"/>
                <w:lang w:val="en"/>
              </w:rPr>
              <w:t>The Government shall, in appointing members</w:t>
            </w:r>
            <w:r w:rsidR="001E478F" w:rsidRPr="00520587">
              <w:rPr>
                <w:rStyle w:val="hgkelc"/>
                <w:rFonts w:ascii="Garamond" w:hAnsi="Garamond"/>
                <w:sz w:val="18"/>
                <w:szCs w:val="18"/>
                <w:lang w:val="en"/>
              </w:rPr>
              <w:t xml:space="preserve">, consider the recommendation of selection committee. </w:t>
            </w:r>
            <w:r w:rsidR="00CD346F" w:rsidRPr="00520587">
              <w:rPr>
                <w:rStyle w:val="hgkelc"/>
                <w:rFonts w:ascii="Garamond" w:hAnsi="Garamond"/>
                <w:i/>
                <w:iCs/>
                <w:sz w:val="18"/>
                <w:szCs w:val="18"/>
                <w:lang w:val="en"/>
              </w:rPr>
              <w:t>See</w:t>
            </w:r>
            <w:r w:rsidR="00CD346F" w:rsidRPr="00520587">
              <w:rPr>
                <w:rStyle w:val="hgkelc"/>
                <w:rFonts w:ascii="Garamond" w:hAnsi="Garamond"/>
                <w:sz w:val="18"/>
                <w:szCs w:val="18"/>
                <w:lang w:val="en"/>
              </w:rPr>
              <w:t xml:space="preserve"> Rule 3</w:t>
            </w:r>
            <w:r w:rsidR="000F5A3B" w:rsidRPr="00520587">
              <w:rPr>
                <w:rStyle w:val="hgkelc"/>
                <w:rFonts w:ascii="Garamond" w:hAnsi="Garamond"/>
                <w:sz w:val="18"/>
                <w:szCs w:val="18"/>
                <w:lang w:val="en"/>
              </w:rPr>
              <w:t xml:space="preserve"> of Bangladesh Competition Commission (Chairperson &amp; Members) </w:t>
            </w:r>
            <w:r w:rsidR="00934DE2" w:rsidRPr="00520587">
              <w:rPr>
                <w:rStyle w:val="hgkelc"/>
                <w:rFonts w:ascii="Garamond" w:hAnsi="Garamond"/>
                <w:sz w:val="18"/>
                <w:szCs w:val="18"/>
                <w:lang w:val="en"/>
              </w:rPr>
              <w:t xml:space="preserve">Appointment Rules, 2015. </w:t>
            </w:r>
          </w:p>
          <w:p w14:paraId="51A44CB3" w14:textId="530B3C36" w:rsidR="00A62701" w:rsidRPr="00520587" w:rsidRDefault="00364F09" w:rsidP="00A62701">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Style w:val="hgkelc"/>
                <w:rFonts w:ascii="Garamond" w:hAnsi="Garamond"/>
                <w:sz w:val="18"/>
                <w:szCs w:val="18"/>
                <w:lang w:val="en"/>
              </w:rPr>
              <w:t xml:space="preserve">In order to recommend the appointment of members, the Selection Committee </w:t>
            </w:r>
            <w:r w:rsidR="00A3130C" w:rsidRPr="00520587">
              <w:rPr>
                <w:rStyle w:val="hgkelc"/>
                <w:rFonts w:ascii="Garamond" w:hAnsi="Garamond"/>
                <w:sz w:val="18"/>
                <w:szCs w:val="18"/>
                <w:lang w:val="en"/>
              </w:rPr>
              <w:t xml:space="preserve">shall recommend the name of two persons </w:t>
            </w:r>
            <w:r w:rsidR="00707FCF" w:rsidRPr="00520587">
              <w:rPr>
                <w:rStyle w:val="hgkelc"/>
                <w:rFonts w:ascii="Garamond" w:hAnsi="Garamond"/>
                <w:sz w:val="18"/>
                <w:szCs w:val="18"/>
                <w:lang w:val="en"/>
              </w:rPr>
              <w:t xml:space="preserve">against each vacant seat </w:t>
            </w:r>
            <w:r w:rsidR="008B15CD" w:rsidRPr="00520587">
              <w:rPr>
                <w:rStyle w:val="hgkelc"/>
                <w:rFonts w:ascii="Garamond" w:hAnsi="Garamond"/>
                <w:sz w:val="18"/>
                <w:szCs w:val="18"/>
                <w:lang w:val="en"/>
              </w:rPr>
              <w:t>by the vote of majority members presented in the meeting. Id</w:t>
            </w:r>
            <w:r w:rsidR="00B62D2D" w:rsidRPr="00520587">
              <w:rPr>
                <w:rStyle w:val="hgkelc"/>
                <w:rFonts w:ascii="Garamond" w:hAnsi="Garamond"/>
                <w:sz w:val="18"/>
                <w:szCs w:val="18"/>
                <w:lang w:val="en"/>
              </w:rPr>
              <w:t>.</w:t>
            </w:r>
            <w:r w:rsidR="008B15CD" w:rsidRPr="00520587">
              <w:rPr>
                <w:rStyle w:val="hgkelc"/>
                <w:rFonts w:ascii="Garamond" w:hAnsi="Garamond"/>
                <w:sz w:val="18"/>
                <w:szCs w:val="18"/>
                <w:lang w:val="en"/>
              </w:rPr>
              <w:t xml:space="preserve"> Rule 5(4). </w:t>
            </w:r>
          </w:p>
        </w:tc>
      </w:tr>
      <w:tr w:rsidR="00520587" w:rsidRPr="00520587" w14:paraId="687A9548" w14:textId="364D398E" w:rsidTr="00797743">
        <w:trPr>
          <w:trHeight w:val="1043"/>
        </w:trPr>
        <w:tc>
          <w:tcPr>
            <w:cnfStyle w:val="001000000000" w:firstRow="0" w:lastRow="0" w:firstColumn="1" w:lastColumn="0" w:oddVBand="0" w:evenVBand="0" w:oddHBand="0" w:evenHBand="0" w:firstRowFirstColumn="0" w:firstRowLastColumn="0" w:lastRowFirstColumn="0" w:lastRowLastColumn="0"/>
            <w:tcW w:w="3775" w:type="dxa"/>
            <w:gridSpan w:val="2"/>
            <w:vMerge w:val="restart"/>
            <w:vAlign w:val="center"/>
          </w:tcPr>
          <w:p w14:paraId="220FCDD2" w14:textId="3512F7A8" w:rsidR="00FE594F" w:rsidRPr="00520587" w:rsidRDefault="00FE594F" w:rsidP="00A62701">
            <w:pPr>
              <w:jc w:val="center"/>
              <w:rPr>
                <w:rFonts w:ascii="Garamond" w:hAnsi="Garamond"/>
                <w:b w:val="0"/>
                <w:bCs w:val="0"/>
                <w:sz w:val="18"/>
                <w:szCs w:val="18"/>
              </w:rPr>
            </w:pPr>
            <w:r w:rsidRPr="00520587">
              <w:rPr>
                <w:rFonts w:ascii="Garamond" w:hAnsi="Garamond"/>
                <w:b w:val="0"/>
                <w:bCs w:val="0"/>
                <w:sz w:val="18"/>
                <w:szCs w:val="18"/>
              </w:rPr>
              <w:t>Is there a fixed period during which removal is prohibited?</w:t>
            </w:r>
          </w:p>
        </w:tc>
        <w:tc>
          <w:tcPr>
            <w:tcW w:w="1004" w:type="dxa"/>
            <w:gridSpan w:val="2"/>
            <w:vMerge w:val="restart"/>
            <w:tcBorders>
              <w:right w:val="single" w:sz="4" w:space="0" w:color="auto"/>
            </w:tcBorders>
            <w:vAlign w:val="center"/>
          </w:tcPr>
          <w:p w14:paraId="5357C056" w14:textId="5C2A2376" w:rsidR="00FE594F" w:rsidRPr="00520587" w:rsidRDefault="00FE594F" w:rsidP="00AA5EEE">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No</w:t>
            </w:r>
          </w:p>
        </w:tc>
        <w:tc>
          <w:tcPr>
            <w:tcW w:w="4576" w:type="dxa"/>
            <w:tcBorders>
              <w:left w:val="single" w:sz="4" w:space="0" w:color="auto"/>
              <w:bottom w:val="single" w:sz="4" w:space="0" w:color="auto"/>
            </w:tcBorders>
            <w:vAlign w:val="center"/>
          </w:tcPr>
          <w:p w14:paraId="4BA5DF91" w14:textId="5B827C72" w:rsidR="00FE594F" w:rsidRPr="00520587" w:rsidRDefault="00520587" w:rsidP="00797743">
            <w:pPr>
              <w:cnfStyle w:val="000000000000" w:firstRow="0" w:lastRow="0" w:firstColumn="0" w:lastColumn="0" w:oddVBand="0" w:evenVBand="0" w:oddHBand="0" w:evenHBand="0" w:firstRowFirstColumn="0" w:firstRowLastColumn="0" w:lastRowFirstColumn="0" w:lastRowLastColumn="0"/>
              <w:rPr>
                <w:rFonts w:ascii="Garamond" w:hAnsi="Garamond"/>
                <w:i/>
                <w:sz w:val="18"/>
                <w:szCs w:val="18"/>
              </w:rPr>
            </w:pPr>
            <w:r w:rsidRPr="00520587">
              <w:rPr>
                <w:rFonts w:ascii="Garamond" w:hAnsi="Garamond"/>
                <w:i/>
                <w:sz w:val="16"/>
                <w:szCs w:val="16"/>
              </w:rPr>
              <w:t>[</w:t>
            </w:r>
            <w:r w:rsidR="00797743" w:rsidRPr="00520587">
              <w:rPr>
                <w:rFonts w:ascii="Garamond" w:hAnsi="Garamond"/>
                <w:i/>
                <w:sz w:val="16"/>
                <w:szCs w:val="16"/>
              </w:rPr>
              <w:t xml:space="preserve">If your answer is “yes”, please </w:t>
            </w:r>
            <w:proofErr w:type="gramStart"/>
            <w:r w:rsidR="00797743" w:rsidRPr="00520587">
              <w:rPr>
                <w:rFonts w:ascii="Garamond" w:hAnsi="Garamond"/>
                <w:i/>
                <w:sz w:val="16"/>
                <w:szCs w:val="16"/>
              </w:rPr>
              <w:t>introduce</w:t>
            </w:r>
            <w:proofErr w:type="gramEnd"/>
            <w:r w:rsidR="00797743" w:rsidRPr="00520587">
              <w:rPr>
                <w:rFonts w:ascii="Garamond" w:hAnsi="Garamond"/>
                <w:i/>
                <w:sz w:val="16"/>
                <w:szCs w:val="16"/>
              </w:rPr>
              <w:t xml:space="preserve"> the duration of the tenure and the relevant provisions. If the answer is no, please refer if there are specific and restricted grounds under which the members of the Directive body can be removed; mention if they are elected for a term and introduce the relevant provisions]</w:t>
            </w:r>
          </w:p>
        </w:tc>
      </w:tr>
      <w:tr w:rsidR="00520587" w:rsidRPr="00520587" w14:paraId="1D9FBB44" w14:textId="77777777" w:rsidTr="00F871D3">
        <w:trPr>
          <w:cnfStyle w:val="000000100000" w:firstRow="0" w:lastRow="0" w:firstColumn="0" w:lastColumn="0" w:oddVBand="0" w:evenVBand="0" w:oddHBand="1" w:evenHBand="0" w:firstRowFirstColumn="0" w:firstRowLastColumn="0" w:lastRowFirstColumn="0" w:lastRowLastColumn="0"/>
          <w:trHeight w:val="3365"/>
        </w:trPr>
        <w:tc>
          <w:tcPr>
            <w:cnfStyle w:val="001000000000" w:firstRow="0" w:lastRow="0" w:firstColumn="1" w:lastColumn="0" w:oddVBand="0" w:evenVBand="0" w:oddHBand="0" w:evenHBand="0" w:firstRowFirstColumn="0" w:firstRowLastColumn="0" w:lastRowFirstColumn="0" w:lastRowLastColumn="0"/>
            <w:tcW w:w="3775" w:type="dxa"/>
            <w:gridSpan w:val="2"/>
            <w:vMerge/>
            <w:vAlign w:val="center"/>
          </w:tcPr>
          <w:p w14:paraId="7FF25FFB" w14:textId="77777777" w:rsidR="00FE594F" w:rsidRPr="00520587" w:rsidRDefault="00FE594F" w:rsidP="00A62701">
            <w:pPr>
              <w:jc w:val="center"/>
              <w:rPr>
                <w:rFonts w:ascii="Garamond" w:hAnsi="Garamond"/>
                <w:b w:val="0"/>
                <w:bCs w:val="0"/>
                <w:sz w:val="18"/>
                <w:szCs w:val="18"/>
              </w:rPr>
            </w:pPr>
          </w:p>
        </w:tc>
        <w:tc>
          <w:tcPr>
            <w:tcW w:w="1004" w:type="dxa"/>
            <w:gridSpan w:val="2"/>
            <w:vMerge/>
            <w:tcBorders>
              <w:right w:val="single" w:sz="4" w:space="0" w:color="auto"/>
            </w:tcBorders>
            <w:vAlign w:val="center"/>
          </w:tcPr>
          <w:p w14:paraId="10591839" w14:textId="77777777" w:rsidR="00FE594F" w:rsidRPr="00520587" w:rsidRDefault="00FE594F" w:rsidP="00AA5EEE">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tc>
        <w:tc>
          <w:tcPr>
            <w:tcW w:w="4576" w:type="dxa"/>
            <w:tcBorders>
              <w:top w:val="single" w:sz="4" w:space="0" w:color="auto"/>
              <w:left w:val="single" w:sz="4" w:space="0" w:color="auto"/>
            </w:tcBorders>
            <w:vAlign w:val="center"/>
          </w:tcPr>
          <w:p w14:paraId="7E63EA0E" w14:textId="77777777" w:rsidR="00D3125F" w:rsidRPr="00520587" w:rsidRDefault="00D3125F" w:rsidP="00D3125F">
            <w:pPr>
              <w:cnfStyle w:val="000000100000" w:firstRow="0" w:lastRow="0" w:firstColumn="0" w:lastColumn="0" w:oddVBand="0" w:evenVBand="0" w:oddHBand="1" w:evenHBand="0" w:firstRowFirstColumn="0" w:firstRowLastColumn="0" w:lastRowFirstColumn="0" w:lastRowLastColumn="0"/>
              <w:rPr>
                <w:rStyle w:val="hgkelc"/>
                <w:rFonts w:ascii="Garamond" w:hAnsi="Garamond"/>
                <w:sz w:val="18"/>
                <w:szCs w:val="18"/>
              </w:rPr>
            </w:pPr>
            <w:r w:rsidRPr="00520587">
              <w:rPr>
                <w:rStyle w:val="hgkelc"/>
                <w:rFonts w:ascii="Garamond" w:hAnsi="Garamond"/>
                <w:sz w:val="18"/>
                <w:szCs w:val="18"/>
              </w:rPr>
              <w:t>Removal Criteria [</w:t>
            </w:r>
            <w:r w:rsidRPr="00520587">
              <w:rPr>
                <w:rStyle w:val="hgkelc"/>
                <w:rFonts w:ascii="Garamond" w:hAnsi="Garamond"/>
                <w:sz w:val="18"/>
                <w:szCs w:val="18"/>
                <w:lang w:val="en"/>
              </w:rPr>
              <w:t>§9 of the Competition Act]</w:t>
            </w:r>
          </w:p>
          <w:p w14:paraId="5A170A5A" w14:textId="77777777" w:rsidR="00D3125F" w:rsidRPr="00520587" w:rsidRDefault="00D3125F" w:rsidP="00D3125F">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ab/>
              <w:t>The Government may remove the Chairperson or any member of the Commission from his office on any or more of the following grounds if he:</w:t>
            </w:r>
          </w:p>
          <w:p w14:paraId="40F514DC" w14:textId="77777777" w:rsidR="00D3125F" w:rsidRPr="00520587" w:rsidRDefault="00D3125F" w:rsidP="007C448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is declared by competent court to be insolvent;</w:t>
            </w:r>
          </w:p>
          <w:p w14:paraId="152E008F" w14:textId="77777777" w:rsidR="00D3125F" w:rsidRPr="00520587" w:rsidRDefault="00D3125F" w:rsidP="007C448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is engaged in any post extraneous to his own duties in </w:t>
            </w:r>
            <w:r w:rsidRPr="00520587">
              <w:rPr>
                <w:rFonts w:ascii="Garamond" w:hAnsi="Garamond"/>
                <w:sz w:val="18"/>
                <w:szCs w:val="18"/>
              </w:rPr>
              <w:tab/>
              <w:t>consideration of remuneration;</w:t>
            </w:r>
          </w:p>
          <w:p w14:paraId="20D8301D" w14:textId="77777777" w:rsidR="00D3125F" w:rsidRPr="00520587" w:rsidRDefault="00D3125F" w:rsidP="007C448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is declared by competent court to be unsound;</w:t>
            </w:r>
          </w:p>
          <w:p w14:paraId="20BA8AED" w14:textId="77777777" w:rsidR="00D3125F" w:rsidRPr="00520587" w:rsidRDefault="00D3125F" w:rsidP="007C448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is convicted of an offence involving moral turpitude;</w:t>
            </w:r>
          </w:p>
          <w:p w14:paraId="3C2B71E1" w14:textId="77777777" w:rsidR="00D3125F" w:rsidRPr="00520587" w:rsidRDefault="00D3125F" w:rsidP="007C448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becomes physically or mentally incapable of discharging </w:t>
            </w:r>
            <w:r w:rsidRPr="00520587">
              <w:rPr>
                <w:rFonts w:ascii="Garamond" w:hAnsi="Garamond"/>
                <w:sz w:val="18"/>
                <w:szCs w:val="18"/>
              </w:rPr>
              <w:tab/>
              <w:t>his duties;</w:t>
            </w:r>
          </w:p>
          <w:p w14:paraId="04D17D4B" w14:textId="77777777" w:rsidR="00D3125F" w:rsidRPr="00520587" w:rsidRDefault="00D3125F" w:rsidP="007C4481">
            <w:pPr>
              <w:pStyle w:val="ListParagraph"/>
              <w:numPr>
                <w:ilvl w:val="0"/>
                <w:numId w:val="10"/>
              </w:num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abuses his position as to render his continuance in office </w:t>
            </w:r>
            <w:r w:rsidRPr="00520587">
              <w:rPr>
                <w:rFonts w:ascii="Garamond" w:hAnsi="Garamond"/>
                <w:sz w:val="18"/>
                <w:szCs w:val="18"/>
              </w:rPr>
              <w:tab/>
              <w:t xml:space="preserve">in the opinion of the Government is prejudicial to the </w:t>
            </w:r>
            <w:r w:rsidRPr="00520587">
              <w:rPr>
                <w:rFonts w:ascii="Garamond" w:hAnsi="Garamond"/>
                <w:sz w:val="18"/>
                <w:szCs w:val="18"/>
              </w:rPr>
              <w:tab/>
              <w:t xml:space="preserve">public </w:t>
            </w:r>
            <w:r w:rsidRPr="00520587">
              <w:rPr>
                <w:rFonts w:ascii="Garamond" w:hAnsi="Garamond"/>
                <w:sz w:val="18"/>
                <w:szCs w:val="18"/>
              </w:rPr>
              <w:tab/>
              <w:t xml:space="preserve">interest. </w:t>
            </w:r>
          </w:p>
          <w:p w14:paraId="4502F5E2" w14:textId="69BCA34C" w:rsidR="00FE594F" w:rsidRPr="00520587" w:rsidRDefault="00D3125F" w:rsidP="00D3125F">
            <w:pPr>
              <w:pStyle w:val="ListParagraph"/>
              <w:ind w:left="450"/>
              <w:jc w:val="right"/>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b/>
                <w:bCs/>
                <w:i/>
                <w:iCs/>
                <w:sz w:val="18"/>
                <w:szCs w:val="18"/>
              </w:rPr>
              <w:t>See</w:t>
            </w:r>
            <w:r w:rsidRPr="00520587">
              <w:rPr>
                <w:rFonts w:ascii="Garamond" w:hAnsi="Garamond"/>
                <w:b/>
                <w:bCs/>
                <w:sz w:val="18"/>
                <w:szCs w:val="18"/>
              </w:rPr>
              <w:t xml:space="preserve"> </w:t>
            </w:r>
            <w:r w:rsidRPr="00520587">
              <w:rPr>
                <w:rStyle w:val="hgkelc"/>
                <w:rFonts w:ascii="Garamond" w:hAnsi="Garamond"/>
                <w:b/>
                <w:bCs/>
                <w:sz w:val="18"/>
                <w:szCs w:val="18"/>
                <w:lang w:val="en"/>
              </w:rPr>
              <w:t>§9 (1)(a) - (f)</w:t>
            </w:r>
            <w:r w:rsidRPr="00520587">
              <w:rPr>
                <w:rStyle w:val="hgkelc"/>
                <w:rFonts w:ascii="Garamond" w:hAnsi="Garamond"/>
                <w:sz w:val="18"/>
                <w:szCs w:val="18"/>
                <w:lang w:val="en"/>
              </w:rPr>
              <w:t>.</w:t>
            </w:r>
          </w:p>
        </w:tc>
      </w:tr>
      <w:tr w:rsidR="00520587" w:rsidRPr="00520587" w14:paraId="4FE24681" w14:textId="2CAEDB78" w:rsidTr="002A3ABA">
        <w:trPr>
          <w:trHeight w:val="294"/>
        </w:trPr>
        <w:tc>
          <w:tcPr>
            <w:cnfStyle w:val="001000000000" w:firstRow="0" w:lastRow="0" w:firstColumn="1" w:lastColumn="0" w:oddVBand="0" w:evenVBand="0" w:oddHBand="0" w:evenHBand="0" w:firstRowFirstColumn="0" w:firstRowLastColumn="0" w:lastRowFirstColumn="0" w:lastRowLastColumn="0"/>
            <w:tcW w:w="3775" w:type="dxa"/>
            <w:gridSpan w:val="2"/>
            <w:vMerge w:val="restart"/>
            <w:vAlign w:val="center"/>
          </w:tcPr>
          <w:p w14:paraId="41BDD687" w14:textId="06849151" w:rsidR="00C07D5E" w:rsidRPr="00520587" w:rsidRDefault="00C07D5E" w:rsidP="00A62701">
            <w:pPr>
              <w:jc w:val="center"/>
              <w:rPr>
                <w:rFonts w:ascii="Garamond" w:hAnsi="Garamond"/>
                <w:b w:val="0"/>
                <w:bCs w:val="0"/>
                <w:sz w:val="18"/>
                <w:szCs w:val="18"/>
              </w:rPr>
            </w:pPr>
            <w:r w:rsidRPr="00520587">
              <w:rPr>
                <w:rFonts w:ascii="Garamond" w:hAnsi="Garamond"/>
                <w:b w:val="0"/>
                <w:bCs w:val="0"/>
                <w:sz w:val="18"/>
                <w:szCs w:val="18"/>
              </w:rPr>
              <w:t xml:space="preserve">Is the tenure of the </w:t>
            </w:r>
            <w:proofErr w:type="gramStart"/>
            <w:r w:rsidRPr="00520587">
              <w:rPr>
                <w:rFonts w:ascii="Garamond" w:hAnsi="Garamond"/>
                <w:b w:val="0"/>
                <w:bCs w:val="0"/>
                <w:sz w:val="18"/>
                <w:szCs w:val="18"/>
              </w:rPr>
              <w:t>heads</w:t>
            </w:r>
            <w:proofErr w:type="gramEnd"/>
            <w:r w:rsidRPr="00520587">
              <w:rPr>
                <w:rFonts w:ascii="Garamond" w:hAnsi="Garamond"/>
                <w:b w:val="0"/>
                <w:bCs w:val="0"/>
                <w:sz w:val="18"/>
                <w:szCs w:val="18"/>
              </w:rPr>
              <w:t xml:space="preserve"> renewable? </w:t>
            </w:r>
          </w:p>
        </w:tc>
        <w:tc>
          <w:tcPr>
            <w:tcW w:w="1004" w:type="dxa"/>
            <w:gridSpan w:val="2"/>
            <w:vMerge w:val="restart"/>
            <w:tcBorders>
              <w:right w:val="single" w:sz="4" w:space="0" w:color="auto"/>
            </w:tcBorders>
            <w:vAlign w:val="center"/>
          </w:tcPr>
          <w:p w14:paraId="2ADBDE0C" w14:textId="2D5113BF" w:rsidR="00C07D5E" w:rsidRPr="00520587" w:rsidRDefault="00C07D5E" w:rsidP="00AA5EEE">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4576" w:type="dxa"/>
            <w:tcBorders>
              <w:left w:val="single" w:sz="4" w:space="0" w:color="auto"/>
              <w:bottom w:val="single" w:sz="4" w:space="0" w:color="auto"/>
            </w:tcBorders>
            <w:vAlign w:val="center"/>
          </w:tcPr>
          <w:p w14:paraId="4B26566C" w14:textId="6DF9474D" w:rsidR="00C07D5E" w:rsidRPr="00520587" w:rsidRDefault="002A3ABA" w:rsidP="002A3ABA">
            <w:pPr>
              <w:cnfStyle w:val="000000000000" w:firstRow="0" w:lastRow="0" w:firstColumn="0" w:lastColumn="0" w:oddVBand="0" w:evenVBand="0" w:oddHBand="0" w:evenHBand="0" w:firstRowFirstColumn="0" w:firstRowLastColumn="0" w:lastRowFirstColumn="0" w:lastRowLastColumn="0"/>
              <w:rPr>
                <w:rFonts w:ascii="Garamond" w:hAnsi="Garamond"/>
                <w:i/>
                <w:sz w:val="18"/>
                <w:szCs w:val="18"/>
              </w:rPr>
            </w:pPr>
            <w:r w:rsidRPr="00520587">
              <w:rPr>
                <w:rFonts w:ascii="Garamond" w:hAnsi="Garamond"/>
                <w:i/>
                <w:sz w:val="18"/>
                <w:szCs w:val="18"/>
              </w:rPr>
              <w:t>[Please, introduce the relevant provisions]</w:t>
            </w:r>
          </w:p>
        </w:tc>
      </w:tr>
      <w:tr w:rsidR="00520587" w:rsidRPr="00520587" w14:paraId="79789E28" w14:textId="77777777" w:rsidTr="00C07D5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775" w:type="dxa"/>
            <w:gridSpan w:val="2"/>
            <w:vMerge/>
            <w:vAlign w:val="center"/>
          </w:tcPr>
          <w:p w14:paraId="0482846B" w14:textId="77777777" w:rsidR="00C07D5E" w:rsidRPr="00520587" w:rsidRDefault="00C07D5E" w:rsidP="00A62701">
            <w:pPr>
              <w:jc w:val="center"/>
              <w:rPr>
                <w:rFonts w:ascii="Garamond" w:hAnsi="Garamond"/>
                <w:b w:val="0"/>
                <w:bCs w:val="0"/>
                <w:sz w:val="18"/>
                <w:szCs w:val="18"/>
              </w:rPr>
            </w:pPr>
          </w:p>
        </w:tc>
        <w:tc>
          <w:tcPr>
            <w:tcW w:w="1004" w:type="dxa"/>
            <w:gridSpan w:val="2"/>
            <w:vMerge/>
            <w:tcBorders>
              <w:right w:val="single" w:sz="4" w:space="0" w:color="auto"/>
            </w:tcBorders>
            <w:vAlign w:val="center"/>
          </w:tcPr>
          <w:p w14:paraId="1E1EAEB3" w14:textId="77777777" w:rsidR="00C07D5E" w:rsidRPr="00520587" w:rsidRDefault="00C07D5E" w:rsidP="00AA5EEE">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tc>
        <w:tc>
          <w:tcPr>
            <w:tcW w:w="4576" w:type="dxa"/>
            <w:tcBorders>
              <w:top w:val="single" w:sz="4" w:space="0" w:color="auto"/>
              <w:left w:val="single" w:sz="4" w:space="0" w:color="auto"/>
            </w:tcBorders>
            <w:vAlign w:val="center"/>
          </w:tcPr>
          <w:p w14:paraId="1A20DADA" w14:textId="4FD6586E" w:rsidR="00D7424B" w:rsidRPr="00520587" w:rsidRDefault="00D7424B" w:rsidP="00EE057B">
            <w:pPr>
              <w:spacing w:after="40"/>
              <w:jc w:val="center"/>
              <w:cnfStyle w:val="000000100000" w:firstRow="0" w:lastRow="0" w:firstColumn="0" w:lastColumn="0" w:oddVBand="0" w:evenVBand="0" w:oddHBand="1" w:evenHBand="0" w:firstRowFirstColumn="0" w:firstRowLastColumn="0" w:lastRowFirstColumn="0" w:lastRowLastColumn="0"/>
              <w:rPr>
                <w:rFonts w:ascii="Garamond" w:hAnsi="Garamond"/>
                <w:b/>
                <w:bCs/>
                <w:sz w:val="18"/>
                <w:szCs w:val="18"/>
                <w:lang w:val="en"/>
              </w:rPr>
            </w:pPr>
            <w:r w:rsidRPr="00520587">
              <w:rPr>
                <w:rFonts w:ascii="Garamond" w:hAnsi="Garamond"/>
                <w:b/>
                <w:bCs/>
                <w:sz w:val="18"/>
                <w:szCs w:val="18"/>
              </w:rPr>
              <w:t xml:space="preserve">See </w:t>
            </w:r>
            <w:r w:rsidRPr="00520587">
              <w:rPr>
                <w:rStyle w:val="hgkelc"/>
                <w:rFonts w:ascii="Garamond" w:hAnsi="Garamond"/>
                <w:b/>
                <w:bCs/>
                <w:sz w:val="18"/>
                <w:szCs w:val="18"/>
                <w:lang w:val="en"/>
              </w:rPr>
              <w:t>§7(6) of the Competition Act, 2012</w:t>
            </w:r>
          </w:p>
        </w:tc>
      </w:tr>
      <w:tr w:rsidR="00520587" w:rsidRPr="00520587" w14:paraId="58C2D1DB" w14:textId="07215AE5" w:rsidTr="00364288">
        <w:trPr>
          <w:trHeight w:val="513"/>
        </w:trPr>
        <w:tc>
          <w:tcPr>
            <w:cnfStyle w:val="001000000000" w:firstRow="0" w:lastRow="0" w:firstColumn="1" w:lastColumn="0" w:oddVBand="0" w:evenVBand="0" w:oddHBand="0" w:evenHBand="0" w:firstRowFirstColumn="0" w:firstRowLastColumn="0" w:lastRowFirstColumn="0" w:lastRowLastColumn="0"/>
            <w:tcW w:w="3775" w:type="dxa"/>
            <w:gridSpan w:val="2"/>
            <w:vMerge w:val="restart"/>
            <w:vAlign w:val="center"/>
          </w:tcPr>
          <w:p w14:paraId="50B2B629" w14:textId="08B77E00" w:rsidR="00364288" w:rsidRPr="00520587" w:rsidRDefault="00364288" w:rsidP="00A62701">
            <w:pPr>
              <w:jc w:val="center"/>
              <w:rPr>
                <w:rFonts w:ascii="Garamond" w:hAnsi="Garamond"/>
                <w:b w:val="0"/>
                <w:bCs w:val="0"/>
                <w:sz w:val="18"/>
                <w:szCs w:val="18"/>
              </w:rPr>
            </w:pPr>
            <w:r w:rsidRPr="00520587">
              <w:rPr>
                <w:rFonts w:ascii="Garamond" w:hAnsi="Garamond"/>
                <w:b w:val="0"/>
                <w:bCs w:val="0"/>
                <w:sz w:val="18"/>
                <w:szCs w:val="18"/>
              </w:rPr>
              <w:t>Are the heads required by law to have certain minimum qualifications (degree in law or economics, age, experience)?</w:t>
            </w:r>
          </w:p>
        </w:tc>
        <w:tc>
          <w:tcPr>
            <w:tcW w:w="1004" w:type="dxa"/>
            <w:gridSpan w:val="2"/>
            <w:vMerge w:val="restart"/>
            <w:tcBorders>
              <w:right w:val="single" w:sz="4" w:space="0" w:color="auto"/>
            </w:tcBorders>
            <w:vAlign w:val="center"/>
          </w:tcPr>
          <w:p w14:paraId="73031829" w14:textId="5D836A2C" w:rsidR="00364288" w:rsidRPr="00520587" w:rsidRDefault="00364288" w:rsidP="00AA5EEE">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4576" w:type="dxa"/>
            <w:tcBorders>
              <w:left w:val="single" w:sz="4" w:space="0" w:color="auto"/>
              <w:bottom w:val="single" w:sz="4" w:space="0" w:color="auto"/>
            </w:tcBorders>
            <w:vAlign w:val="center"/>
          </w:tcPr>
          <w:p w14:paraId="25A8BA1E" w14:textId="37ED1B06" w:rsidR="00364288" w:rsidRPr="00520587" w:rsidRDefault="00364288" w:rsidP="00797743">
            <w:pPr>
              <w:cnfStyle w:val="000000000000" w:firstRow="0" w:lastRow="0" w:firstColumn="0" w:lastColumn="0" w:oddVBand="0" w:evenVBand="0" w:oddHBand="0" w:evenHBand="0" w:firstRowFirstColumn="0" w:firstRowLastColumn="0" w:lastRowFirstColumn="0" w:lastRowLastColumn="0"/>
              <w:rPr>
                <w:rFonts w:ascii="Garamond" w:hAnsi="Garamond"/>
                <w:b/>
                <w:bCs/>
                <w:i/>
                <w:sz w:val="18"/>
                <w:szCs w:val="18"/>
              </w:rPr>
            </w:pPr>
            <w:r w:rsidRPr="00520587">
              <w:rPr>
                <w:rFonts w:ascii="Garamond" w:hAnsi="Garamond"/>
                <w:i/>
                <w:sz w:val="18"/>
                <w:szCs w:val="18"/>
              </w:rPr>
              <w:t xml:space="preserve">[If your answer is “yes”, please </w:t>
            </w:r>
            <w:proofErr w:type="gramStart"/>
            <w:r w:rsidR="00637F64" w:rsidRPr="00520587">
              <w:rPr>
                <w:rFonts w:ascii="Garamond" w:hAnsi="Garamond"/>
                <w:i/>
                <w:sz w:val="18"/>
                <w:szCs w:val="18"/>
              </w:rPr>
              <w:t>refer</w:t>
            </w:r>
            <w:proofErr w:type="gramEnd"/>
            <w:r w:rsidRPr="00520587">
              <w:rPr>
                <w:rFonts w:ascii="Garamond" w:hAnsi="Garamond"/>
                <w:i/>
                <w:sz w:val="18"/>
                <w:szCs w:val="18"/>
              </w:rPr>
              <w:t xml:space="preserve"> to the qualifications required by law and the relevant provisions]</w:t>
            </w:r>
          </w:p>
        </w:tc>
      </w:tr>
      <w:tr w:rsidR="00520587" w:rsidRPr="00520587" w14:paraId="3DF5F4FD" w14:textId="77777777" w:rsidTr="00364288">
        <w:trPr>
          <w:cnfStyle w:val="000000100000" w:firstRow="0" w:lastRow="0" w:firstColumn="0" w:lastColumn="0" w:oddVBand="0" w:evenVBand="0" w:oddHBand="1" w:evenHBand="0" w:firstRowFirstColumn="0" w:firstRowLastColumn="0" w:lastRowFirstColumn="0" w:lastRowLastColumn="0"/>
          <w:trHeight w:val="3731"/>
        </w:trPr>
        <w:tc>
          <w:tcPr>
            <w:cnfStyle w:val="001000000000" w:firstRow="0" w:lastRow="0" w:firstColumn="1" w:lastColumn="0" w:oddVBand="0" w:evenVBand="0" w:oddHBand="0" w:evenHBand="0" w:firstRowFirstColumn="0" w:firstRowLastColumn="0" w:lastRowFirstColumn="0" w:lastRowLastColumn="0"/>
            <w:tcW w:w="3775" w:type="dxa"/>
            <w:gridSpan w:val="2"/>
            <w:vMerge/>
            <w:vAlign w:val="center"/>
          </w:tcPr>
          <w:p w14:paraId="1EC2399A" w14:textId="77777777" w:rsidR="00364288" w:rsidRPr="00520587" w:rsidRDefault="00364288" w:rsidP="00A62701">
            <w:pPr>
              <w:jc w:val="center"/>
              <w:rPr>
                <w:rFonts w:ascii="Garamond" w:hAnsi="Garamond"/>
                <w:b w:val="0"/>
                <w:bCs w:val="0"/>
                <w:sz w:val="18"/>
                <w:szCs w:val="18"/>
              </w:rPr>
            </w:pPr>
          </w:p>
        </w:tc>
        <w:tc>
          <w:tcPr>
            <w:tcW w:w="1004" w:type="dxa"/>
            <w:gridSpan w:val="2"/>
            <w:vMerge/>
            <w:tcBorders>
              <w:right w:val="single" w:sz="4" w:space="0" w:color="auto"/>
            </w:tcBorders>
            <w:vAlign w:val="center"/>
          </w:tcPr>
          <w:p w14:paraId="1C28851E" w14:textId="77777777" w:rsidR="00364288" w:rsidRPr="00520587" w:rsidRDefault="00364288" w:rsidP="00AA5EEE">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tc>
        <w:tc>
          <w:tcPr>
            <w:tcW w:w="4576" w:type="dxa"/>
            <w:tcBorders>
              <w:top w:val="single" w:sz="4" w:space="0" w:color="auto"/>
              <w:left w:val="single" w:sz="4" w:space="0" w:color="auto"/>
            </w:tcBorders>
            <w:vAlign w:val="center"/>
          </w:tcPr>
          <w:p w14:paraId="061BE32E" w14:textId="7CEE4779" w:rsidR="00364288" w:rsidRPr="00520587" w:rsidRDefault="00364288" w:rsidP="00D04492">
            <w:pPr>
              <w:cnfStyle w:val="000000100000" w:firstRow="0" w:lastRow="0" w:firstColumn="0" w:lastColumn="0" w:oddVBand="0" w:evenVBand="0" w:oddHBand="1" w:evenHBand="0" w:firstRowFirstColumn="0" w:firstRowLastColumn="0" w:lastRowFirstColumn="0" w:lastRowLastColumn="0"/>
              <w:rPr>
                <w:rFonts w:ascii="Garamond" w:hAnsi="Garamond"/>
                <w:b/>
                <w:bCs/>
                <w:sz w:val="18"/>
                <w:szCs w:val="18"/>
              </w:rPr>
            </w:pPr>
            <w:r w:rsidRPr="00520587">
              <w:rPr>
                <w:rFonts w:ascii="Garamond" w:hAnsi="Garamond"/>
                <w:b/>
                <w:bCs/>
                <w:sz w:val="18"/>
                <w:szCs w:val="18"/>
              </w:rPr>
              <w:t>A</w:t>
            </w:r>
            <w:r w:rsidR="00342D61">
              <w:rPr>
                <w:rFonts w:ascii="Garamond" w:hAnsi="Garamond"/>
                <w:b/>
                <w:bCs/>
                <w:sz w:val="18"/>
                <w:szCs w:val="18"/>
              </w:rPr>
              <w:t>p</w:t>
            </w:r>
            <w:r w:rsidRPr="00520587">
              <w:rPr>
                <w:rFonts w:ascii="Garamond" w:hAnsi="Garamond"/>
                <w:b/>
                <w:bCs/>
                <w:sz w:val="18"/>
                <w:szCs w:val="18"/>
              </w:rPr>
              <w:t>pointment Criteria</w:t>
            </w:r>
          </w:p>
          <w:p w14:paraId="4382AF1E" w14:textId="77777777" w:rsidR="00342D61" w:rsidRDefault="00342D61" w:rsidP="0042568E">
            <w:pPr>
              <w:spacing w:after="80"/>
              <w:cnfStyle w:val="000000100000" w:firstRow="0" w:lastRow="0" w:firstColumn="0" w:lastColumn="0" w:oddVBand="0" w:evenVBand="0" w:oddHBand="1" w:evenHBand="0" w:firstRowFirstColumn="0" w:firstRowLastColumn="0" w:lastRowFirstColumn="0" w:lastRowLastColumn="0"/>
              <w:rPr>
                <w:rFonts w:ascii="Garamond" w:hAnsi="Garamond" w:cs="TimesNewRoman"/>
                <w:kern w:val="0"/>
                <w:sz w:val="18"/>
                <w:szCs w:val="18"/>
              </w:rPr>
            </w:pPr>
          </w:p>
          <w:p w14:paraId="76E70B23" w14:textId="0D45A2C9" w:rsidR="00364288" w:rsidRPr="00520587" w:rsidRDefault="00364288" w:rsidP="0042568E">
            <w:pPr>
              <w:spacing w:after="80"/>
              <w:cnfStyle w:val="000000100000" w:firstRow="0" w:lastRow="0" w:firstColumn="0" w:lastColumn="0" w:oddVBand="0" w:evenVBand="0" w:oddHBand="1" w:evenHBand="0" w:firstRowFirstColumn="0" w:firstRowLastColumn="0" w:lastRowFirstColumn="0" w:lastRowLastColumn="0"/>
              <w:rPr>
                <w:rFonts w:ascii="Garamond" w:hAnsi="Garamond" w:cs="TimesNewRoman"/>
                <w:kern w:val="0"/>
                <w:sz w:val="18"/>
                <w:szCs w:val="18"/>
              </w:rPr>
            </w:pPr>
            <w:r w:rsidRPr="00520587">
              <w:rPr>
                <w:rFonts w:ascii="Garamond" w:hAnsi="Garamond" w:cs="TimesNewRoman"/>
                <w:kern w:val="0"/>
                <w:sz w:val="18"/>
                <w:szCs w:val="18"/>
              </w:rPr>
              <w:t xml:space="preserve">The person having practical experience of not less than 15 years in economics, matters relating to market, or public administration or similar subjects or legal profession or legal affairs activities in different public- private institutions or in any other subject, in the opinion of the Government, appropriate for the Commission, (fifteen) years, shall be deemed to be eligible for appointment as the Chairperson or the Member of the Commission: </w:t>
            </w:r>
          </w:p>
          <w:p w14:paraId="18A33D18" w14:textId="0784F149" w:rsidR="00364288" w:rsidRPr="00520587" w:rsidRDefault="00364288" w:rsidP="0042568E">
            <w:pPr>
              <w:spacing w:after="80"/>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cs="TimesNewRoman"/>
                <w:kern w:val="0"/>
                <w:sz w:val="18"/>
                <w:szCs w:val="18"/>
              </w:rPr>
              <w:t xml:space="preserve">Provided that more than one person experienced in same subject shall not be appointed as Member. </w:t>
            </w:r>
            <w:r w:rsidRPr="00520587">
              <w:rPr>
                <w:rFonts w:ascii="Garamond" w:hAnsi="Garamond" w:cs="TimesNewRoman"/>
                <w:i/>
                <w:iCs/>
                <w:kern w:val="0"/>
                <w:sz w:val="18"/>
                <w:szCs w:val="18"/>
              </w:rPr>
              <w:t>See</w:t>
            </w:r>
            <w:r w:rsidRPr="00520587">
              <w:rPr>
                <w:rFonts w:ascii="Garamond" w:hAnsi="Garamond" w:cs="TimesNewRoman"/>
                <w:kern w:val="0"/>
                <w:sz w:val="18"/>
                <w:szCs w:val="18"/>
              </w:rPr>
              <w:t xml:space="preserve"> </w:t>
            </w:r>
            <w:r w:rsidRPr="00520587">
              <w:rPr>
                <w:rStyle w:val="hgkelc"/>
                <w:rFonts w:ascii="Garamond" w:hAnsi="Garamond"/>
                <w:sz w:val="18"/>
                <w:szCs w:val="18"/>
                <w:lang w:val="en"/>
              </w:rPr>
              <w:t xml:space="preserve">§7(3) of the Competition Act, 2012. </w:t>
            </w:r>
          </w:p>
          <w:p w14:paraId="59877DE7" w14:textId="122939C4" w:rsidR="00364288" w:rsidRPr="00520587" w:rsidRDefault="00364288" w:rsidP="00797743">
            <w:pPr>
              <w:cnfStyle w:val="000000100000" w:firstRow="0" w:lastRow="0" w:firstColumn="0" w:lastColumn="0" w:oddVBand="0" w:evenVBand="0" w:oddHBand="1" w:evenHBand="0" w:firstRowFirstColumn="0" w:firstRowLastColumn="0" w:lastRowFirstColumn="0" w:lastRowLastColumn="0"/>
              <w:rPr>
                <w:rFonts w:ascii="Garamond" w:hAnsi="Garamond"/>
                <w:sz w:val="16"/>
                <w:szCs w:val="16"/>
                <w:highlight w:val="green"/>
              </w:rPr>
            </w:pPr>
            <w:r w:rsidRPr="00520587">
              <w:rPr>
                <w:rFonts w:ascii="Garamond" w:hAnsi="Garamond"/>
                <w:sz w:val="18"/>
                <w:szCs w:val="18"/>
              </w:rPr>
              <w:t xml:space="preserve">The Chairperson and the members shall be eligible for re-appointment of another three years term. Provided that the person who attained the age of 65 (sixty-five) years shall not be eligible for appointment or hold office as Chairperson or Member. Id. </w:t>
            </w:r>
            <w:r w:rsidRPr="00520587">
              <w:rPr>
                <w:rStyle w:val="hgkelc"/>
                <w:rFonts w:ascii="Garamond" w:hAnsi="Garamond"/>
                <w:sz w:val="18"/>
                <w:szCs w:val="18"/>
                <w:lang w:val="en"/>
              </w:rPr>
              <w:t>§7(6).</w:t>
            </w:r>
          </w:p>
        </w:tc>
      </w:tr>
    </w:tbl>
    <w:p w14:paraId="22749E18" w14:textId="77777777" w:rsidR="00E271FF" w:rsidRPr="00520587" w:rsidRDefault="00E271FF">
      <w:pPr>
        <w:rPr>
          <w:rFonts w:ascii="Garamond" w:hAnsi="Garamond"/>
          <w:color w:val="000000" w:themeColor="text1"/>
        </w:rPr>
      </w:pPr>
    </w:p>
    <w:tbl>
      <w:tblPr>
        <w:tblStyle w:val="GridTable6Colorful"/>
        <w:tblW w:w="9355" w:type="dxa"/>
        <w:tblLayout w:type="fixed"/>
        <w:tblLook w:val="04A0" w:firstRow="1" w:lastRow="0" w:firstColumn="1" w:lastColumn="0" w:noHBand="0" w:noVBand="1"/>
      </w:tblPr>
      <w:tblGrid>
        <w:gridCol w:w="3775"/>
        <w:gridCol w:w="1429"/>
        <w:gridCol w:w="11"/>
        <w:gridCol w:w="540"/>
        <w:gridCol w:w="540"/>
        <w:gridCol w:w="3060"/>
      </w:tblGrid>
      <w:tr w:rsidR="00520587" w:rsidRPr="00520587" w14:paraId="5ED4A48D" w14:textId="367700E6" w:rsidTr="00536A4F">
        <w:trPr>
          <w:cnfStyle w:val="100000000000" w:firstRow="1" w:lastRow="0" w:firstColumn="0" w:lastColumn="0" w:oddVBand="0" w:evenVBand="0" w:oddHBand="0"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5" w:type="dxa"/>
            <w:gridSpan w:val="6"/>
            <w:vAlign w:val="center"/>
          </w:tcPr>
          <w:p w14:paraId="0E6A38AC" w14:textId="1DC0B9FF" w:rsidR="00D44F14" w:rsidRPr="00520587" w:rsidRDefault="004F0032" w:rsidP="00536A4F">
            <w:pPr>
              <w:jc w:val="center"/>
              <w:rPr>
                <w:rFonts w:ascii="Garamond" w:hAnsi="Garamond"/>
                <w:b w:val="0"/>
                <w:bCs w:val="0"/>
                <w:smallCaps/>
                <w:sz w:val="22"/>
                <w:szCs w:val="18"/>
              </w:rPr>
            </w:pPr>
            <w:r w:rsidRPr="00520587">
              <w:rPr>
                <w:rFonts w:ascii="Garamond" w:hAnsi="Garamond"/>
                <w:smallCaps/>
                <w:sz w:val="22"/>
                <w:szCs w:val="18"/>
              </w:rPr>
              <w:t xml:space="preserve">Architecture </w:t>
            </w:r>
          </w:p>
        </w:tc>
      </w:tr>
      <w:tr w:rsidR="00520587" w:rsidRPr="00520587" w14:paraId="22D7C538" w14:textId="77777777" w:rsidTr="00536A4F">
        <w:trPr>
          <w:cnfStyle w:val="000000100000" w:firstRow="0" w:lastRow="0" w:firstColumn="0" w:lastColumn="0" w:oddVBand="0" w:evenVBand="0" w:oddHBand="1" w:evenHBand="0" w:firstRowFirstColumn="0" w:firstRowLastColumn="0" w:lastRowFirstColumn="0" w:lastRowLastColumn="0"/>
          <w:trHeight w:val="420"/>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4527AF75" w14:textId="25303B2F" w:rsidR="000927FE" w:rsidRPr="00520587" w:rsidRDefault="000927FE" w:rsidP="00A62701">
            <w:pPr>
              <w:jc w:val="center"/>
              <w:rPr>
                <w:rFonts w:ascii="Garamond" w:hAnsi="Garamond"/>
                <w:b w:val="0"/>
                <w:bCs w:val="0"/>
                <w:sz w:val="18"/>
                <w:szCs w:val="18"/>
              </w:rPr>
            </w:pPr>
            <w:r w:rsidRPr="00520587">
              <w:rPr>
                <w:rFonts w:ascii="Garamond" w:hAnsi="Garamond"/>
                <w:b w:val="0"/>
                <w:bCs w:val="0"/>
                <w:sz w:val="18"/>
                <w:szCs w:val="18"/>
              </w:rPr>
              <w:t xml:space="preserve">Is the Competition Authority a stand-alone agency with an independent physical location or is it a part of a bigger entity such as a ministry? </w:t>
            </w:r>
          </w:p>
        </w:tc>
        <w:tc>
          <w:tcPr>
            <w:tcW w:w="1440" w:type="dxa"/>
            <w:gridSpan w:val="2"/>
            <w:vMerge w:val="restart"/>
            <w:tcBorders>
              <w:right w:val="single" w:sz="4" w:space="0" w:color="auto"/>
            </w:tcBorders>
            <w:vAlign w:val="center"/>
          </w:tcPr>
          <w:p w14:paraId="1E82F68B" w14:textId="624534A6" w:rsidR="000927FE" w:rsidRPr="00520587" w:rsidRDefault="00B5355B" w:rsidP="00AA5EEE">
            <w:pPr>
              <w:jc w:val="center"/>
              <w:cnfStyle w:val="000000100000" w:firstRow="0" w:lastRow="0" w:firstColumn="0" w:lastColumn="0" w:oddVBand="0" w:evenVBand="0" w:oddHBand="1" w:evenHBand="0" w:firstRowFirstColumn="0" w:firstRowLastColumn="0" w:lastRowFirstColumn="0" w:lastRowLastColumn="0"/>
              <w:rPr>
                <w:rFonts w:ascii="Garamond" w:hAnsi="Garamond"/>
                <w:b/>
                <w:bCs/>
                <w:sz w:val="18"/>
                <w:szCs w:val="18"/>
              </w:rPr>
            </w:pPr>
            <w:r w:rsidRPr="00520587">
              <w:rPr>
                <w:rFonts w:ascii="Garamond" w:hAnsi="Garamond"/>
                <w:b/>
                <w:bCs/>
                <w:sz w:val="18"/>
                <w:szCs w:val="18"/>
              </w:rPr>
              <w:t>Separ</w:t>
            </w:r>
            <w:r w:rsidR="00C20048" w:rsidRPr="00520587">
              <w:rPr>
                <w:rFonts w:ascii="Garamond" w:hAnsi="Garamond"/>
                <w:b/>
                <w:bCs/>
                <w:sz w:val="18"/>
                <w:szCs w:val="18"/>
              </w:rPr>
              <w:t>ate Entity</w:t>
            </w:r>
          </w:p>
        </w:tc>
        <w:tc>
          <w:tcPr>
            <w:tcW w:w="4140" w:type="dxa"/>
            <w:gridSpan w:val="3"/>
            <w:tcBorders>
              <w:left w:val="single" w:sz="4" w:space="0" w:color="auto"/>
              <w:bottom w:val="single" w:sz="4" w:space="0" w:color="auto"/>
            </w:tcBorders>
            <w:vAlign w:val="center"/>
          </w:tcPr>
          <w:p w14:paraId="21390093" w14:textId="2B10C1D8" w:rsidR="000927FE" w:rsidRPr="00520587" w:rsidRDefault="00520587" w:rsidP="00797743">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highlight w:val="green"/>
              </w:rPr>
            </w:pPr>
            <w:r w:rsidRPr="00520587">
              <w:rPr>
                <w:rFonts w:ascii="Garamond" w:hAnsi="Garamond"/>
                <w:i/>
                <w:sz w:val="16"/>
                <w:szCs w:val="16"/>
              </w:rPr>
              <w:t>[</w:t>
            </w:r>
            <w:r w:rsidR="00291250" w:rsidRPr="00520587">
              <w:rPr>
                <w:rFonts w:ascii="Garamond" w:hAnsi="Garamond"/>
                <w:i/>
                <w:sz w:val="16"/>
                <w:szCs w:val="16"/>
              </w:rPr>
              <w:t>If your answer is “part of a bigger entity”, please explain briefly how the bigger entity is organized</w:t>
            </w:r>
            <w:r w:rsidRPr="00520587">
              <w:rPr>
                <w:rFonts w:ascii="Garamond" w:hAnsi="Garamond"/>
                <w:i/>
                <w:sz w:val="16"/>
                <w:szCs w:val="16"/>
              </w:rPr>
              <w:t>]</w:t>
            </w:r>
          </w:p>
        </w:tc>
      </w:tr>
      <w:tr w:rsidR="00520587" w:rsidRPr="00520587" w14:paraId="0B00F641" w14:textId="77777777" w:rsidTr="00536A4F">
        <w:trPr>
          <w:trHeight w:val="3491"/>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1F827220" w14:textId="77777777" w:rsidR="000927FE" w:rsidRPr="00520587" w:rsidRDefault="000927FE" w:rsidP="00A62701">
            <w:pPr>
              <w:jc w:val="center"/>
              <w:rPr>
                <w:rFonts w:ascii="Garamond" w:hAnsi="Garamond"/>
                <w:b w:val="0"/>
                <w:bCs w:val="0"/>
                <w:sz w:val="18"/>
                <w:szCs w:val="18"/>
              </w:rPr>
            </w:pPr>
          </w:p>
        </w:tc>
        <w:tc>
          <w:tcPr>
            <w:tcW w:w="1440" w:type="dxa"/>
            <w:gridSpan w:val="2"/>
            <w:vMerge/>
            <w:tcBorders>
              <w:right w:val="single" w:sz="4" w:space="0" w:color="auto"/>
            </w:tcBorders>
            <w:vAlign w:val="center"/>
          </w:tcPr>
          <w:p w14:paraId="6A60FF0D" w14:textId="77777777" w:rsidR="000927FE" w:rsidRPr="00520587" w:rsidRDefault="000927FE" w:rsidP="00AA5EEE">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40" w:type="dxa"/>
            <w:gridSpan w:val="3"/>
            <w:tcBorders>
              <w:top w:val="single" w:sz="4" w:space="0" w:color="auto"/>
              <w:left w:val="single" w:sz="4" w:space="0" w:color="auto"/>
            </w:tcBorders>
            <w:vAlign w:val="center"/>
          </w:tcPr>
          <w:p w14:paraId="15F54F25" w14:textId="5299C92D" w:rsidR="00236C87" w:rsidRPr="00520587" w:rsidRDefault="00236C87" w:rsidP="00030349">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hgkelc"/>
                <w:rFonts w:ascii="Garamond" w:hAnsi="Garamond" w:cs="TimesNewRoman"/>
                <w:kern w:val="0"/>
                <w:sz w:val="18"/>
                <w:szCs w:val="18"/>
              </w:rPr>
            </w:pPr>
            <w:r w:rsidRPr="00520587">
              <w:rPr>
                <w:rFonts w:ascii="Garamond" w:hAnsi="Garamond" w:cs="TimesNewRoman"/>
                <w:kern w:val="0"/>
                <w:sz w:val="18"/>
                <w:szCs w:val="18"/>
              </w:rPr>
              <w:t xml:space="preserve">The Commission shall be a statutory body having perpetual succession and subject to the provisions of this Act, with power, to acquire, hold and dispose of property, both movable and immovable, and shall by the said name sue and be sued. See </w:t>
            </w:r>
            <w:r w:rsidRPr="00520587">
              <w:rPr>
                <w:rStyle w:val="hgkelc"/>
                <w:rFonts w:ascii="Garamond" w:hAnsi="Garamond"/>
                <w:sz w:val="18"/>
                <w:szCs w:val="18"/>
                <w:lang w:val="en"/>
              </w:rPr>
              <w:t>§</w:t>
            </w:r>
            <w:r w:rsidRPr="00520587">
              <w:rPr>
                <w:rFonts w:ascii="Garamond" w:hAnsi="Garamond" w:cs="TimesNewRoman"/>
                <w:kern w:val="0"/>
                <w:sz w:val="18"/>
                <w:szCs w:val="18"/>
              </w:rPr>
              <w:t xml:space="preserve"> 5(2), the Competition Act, 2012.</w:t>
            </w:r>
          </w:p>
          <w:p w14:paraId="7EE9F36A" w14:textId="70C7AD4B" w:rsidR="00236C87" w:rsidRPr="00520587" w:rsidRDefault="00236C87" w:rsidP="00030349">
            <w:pPr>
              <w:autoSpaceDE w:val="0"/>
              <w:autoSpaceDN w:val="0"/>
              <w:adjustRightInd w:val="0"/>
              <w:spacing w:after="60"/>
              <w:cnfStyle w:val="000000000000" w:firstRow="0" w:lastRow="0" w:firstColumn="0" w:lastColumn="0" w:oddVBand="0" w:evenVBand="0" w:oddHBand="0" w:evenHBand="0" w:firstRowFirstColumn="0" w:firstRowLastColumn="0" w:lastRowFirstColumn="0" w:lastRowLastColumn="0"/>
              <w:rPr>
                <w:rStyle w:val="hgkelc"/>
                <w:rFonts w:ascii="Garamond" w:hAnsi="Garamond" w:cs="TimesNewRoman"/>
                <w:kern w:val="0"/>
                <w:sz w:val="18"/>
                <w:szCs w:val="18"/>
              </w:rPr>
            </w:pPr>
            <w:r w:rsidRPr="00520587">
              <w:rPr>
                <w:rFonts w:ascii="Garamond" w:hAnsi="Garamond" w:cs="TimesNewRoman"/>
                <w:kern w:val="0"/>
                <w:sz w:val="18"/>
                <w:szCs w:val="18"/>
              </w:rPr>
              <w:t>The Commission shall have a common seal, which shall be in such size and with such description as may be determined by the Commission; it shall be in the custody of the Chairperson and shall be used in such cases as may be determined by the Commission. Id.</w:t>
            </w:r>
            <w:r w:rsidRPr="00520587">
              <w:rPr>
                <w:rFonts w:ascii="Garamond" w:hAnsi="Garamond" w:cs="TimesNewRoman"/>
                <w:i/>
                <w:iCs/>
                <w:kern w:val="0"/>
                <w:sz w:val="18"/>
                <w:szCs w:val="18"/>
              </w:rPr>
              <w:t xml:space="preserve"> </w:t>
            </w:r>
            <w:r w:rsidRPr="00520587">
              <w:rPr>
                <w:rStyle w:val="hgkelc"/>
                <w:rFonts w:ascii="Garamond" w:hAnsi="Garamond"/>
                <w:sz w:val="18"/>
                <w:szCs w:val="18"/>
                <w:lang w:val="en"/>
              </w:rPr>
              <w:t>§5(3).</w:t>
            </w:r>
          </w:p>
          <w:p w14:paraId="2625963A" w14:textId="3750104E" w:rsidR="000927FE" w:rsidRPr="00520587" w:rsidRDefault="00236C87" w:rsidP="00236C87">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cs="TimesNewRoman"/>
                <w:kern w:val="0"/>
                <w:sz w:val="18"/>
                <w:szCs w:val="18"/>
              </w:rPr>
              <w:t>The Head office of the Commission shall be in Dhaka and the Commission may, if necessary, with prior approval of the Government, establish its branch offices at any place in Bangladesh. Id.</w:t>
            </w:r>
            <w:r w:rsidRPr="00520587">
              <w:rPr>
                <w:rFonts w:ascii="Garamond" w:hAnsi="Garamond" w:cs="TimesNewRoman"/>
                <w:i/>
                <w:iCs/>
                <w:kern w:val="0"/>
                <w:sz w:val="18"/>
                <w:szCs w:val="18"/>
              </w:rPr>
              <w:t xml:space="preserve"> </w:t>
            </w:r>
            <w:r w:rsidRPr="00520587">
              <w:rPr>
                <w:rStyle w:val="hgkelc"/>
                <w:rFonts w:ascii="Garamond" w:hAnsi="Garamond"/>
                <w:sz w:val="18"/>
                <w:szCs w:val="18"/>
                <w:lang w:val="en"/>
              </w:rPr>
              <w:t>§6.</w:t>
            </w:r>
          </w:p>
        </w:tc>
      </w:tr>
      <w:tr w:rsidR="00520587" w:rsidRPr="00520587" w14:paraId="0E0C5AA6" w14:textId="77777777" w:rsidTr="00536A4F">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9355" w:type="dxa"/>
            <w:gridSpan w:val="6"/>
            <w:vAlign w:val="center"/>
          </w:tcPr>
          <w:p w14:paraId="31F1385F" w14:textId="75142A5C" w:rsidR="00F71B38" w:rsidRPr="00520587" w:rsidRDefault="00F71B38" w:rsidP="00F71B38">
            <w:pPr>
              <w:jc w:val="center"/>
              <w:rPr>
                <w:rFonts w:ascii="Garamond" w:hAnsi="Garamond"/>
                <w:smallCaps/>
                <w:sz w:val="18"/>
                <w:szCs w:val="18"/>
              </w:rPr>
            </w:pPr>
            <w:r w:rsidRPr="00520587">
              <w:rPr>
                <w:rFonts w:ascii="Garamond" w:hAnsi="Garamond"/>
                <w:smallCaps/>
                <w:sz w:val="22"/>
                <w:szCs w:val="22"/>
              </w:rPr>
              <w:t xml:space="preserve">Policy Duties </w:t>
            </w:r>
          </w:p>
        </w:tc>
      </w:tr>
      <w:tr w:rsidR="00520587" w:rsidRPr="00520587" w14:paraId="646C4CA2" w14:textId="20C26F35" w:rsidTr="00D149F9">
        <w:trPr>
          <w:trHeight w:val="521"/>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2CEC7DF2" w14:textId="09107B5B" w:rsidR="00130D1D" w:rsidRPr="00520587" w:rsidRDefault="00130D1D" w:rsidP="00A62701">
            <w:pPr>
              <w:jc w:val="center"/>
              <w:rPr>
                <w:rFonts w:ascii="Garamond" w:hAnsi="Garamond"/>
                <w:b w:val="0"/>
                <w:bCs w:val="0"/>
                <w:sz w:val="18"/>
                <w:szCs w:val="18"/>
              </w:rPr>
            </w:pPr>
            <w:r w:rsidRPr="00520587">
              <w:rPr>
                <w:rFonts w:ascii="Garamond" w:hAnsi="Garamond"/>
                <w:b w:val="0"/>
                <w:bCs w:val="0"/>
                <w:sz w:val="18"/>
                <w:szCs w:val="18"/>
              </w:rPr>
              <w:t>Does the Competition Authority have an exclusive mandate on competition or multiple mandates?</w:t>
            </w:r>
          </w:p>
        </w:tc>
        <w:tc>
          <w:tcPr>
            <w:tcW w:w="1429" w:type="dxa"/>
            <w:vMerge w:val="restart"/>
            <w:tcBorders>
              <w:right w:val="single" w:sz="4" w:space="0" w:color="auto"/>
            </w:tcBorders>
            <w:vAlign w:val="center"/>
          </w:tcPr>
          <w:p w14:paraId="07A873BA" w14:textId="6AED7F1F" w:rsidR="00130D1D" w:rsidRPr="00520587" w:rsidRDefault="00A813AC" w:rsidP="00A813AC">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Exclusive Mandate</w:t>
            </w:r>
          </w:p>
        </w:tc>
        <w:tc>
          <w:tcPr>
            <w:tcW w:w="1091" w:type="dxa"/>
            <w:gridSpan w:val="3"/>
            <w:tcBorders>
              <w:left w:val="single" w:sz="4" w:space="0" w:color="auto"/>
              <w:bottom w:val="single" w:sz="4" w:space="0" w:color="auto"/>
            </w:tcBorders>
            <w:vAlign w:val="center"/>
          </w:tcPr>
          <w:p w14:paraId="4CD1692D" w14:textId="22CDEBD0" w:rsidR="00130D1D" w:rsidRPr="00520587" w:rsidRDefault="00130D1D" w:rsidP="00A813AC">
            <w:pPr>
              <w:jc w:val="center"/>
              <w:cnfStyle w:val="000000000000" w:firstRow="0" w:lastRow="0" w:firstColumn="0" w:lastColumn="0" w:oddVBand="0" w:evenVBand="0" w:oddHBand="0" w:evenHBand="0" w:firstRowFirstColumn="0" w:firstRowLastColumn="0" w:lastRowFirstColumn="0" w:lastRowLastColumn="0"/>
              <w:rPr>
                <w:rFonts w:ascii="Garamond" w:eastAsia="Gungsuh" w:hAnsi="Garamond"/>
                <w:b/>
                <w:bCs/>
                <w:sz w:val="14"/>
                <w:szCs w:val="14"/>
              </w:rPr>
            </w:pPr>
            <w:r w:rsidRPr="00520587">
              <w:rPr>
                <w:rFonts w:ascii="Garamond" w:hAnsi="Garamond"/>
                <w:b/>
                <w:bCs/>
                <w:sz w:val="14"/>
                <w:szCs w:val="14"/>
              </w:rPr>
              <w:t xml:space="preserve">Answer with X / </w:t>
            </w:r>
            <w:r w:rsidRPr="00520587">
              <w:rPr>
                <w:rFonts w:ascii="Garamond" w:eastAsia="Gungsuh" w:hAnsi="Garamond"/>
                <w:b/>
                <w:bCs/>
                <w:sz w:val="14"/>
                <w:szCs w:val="14"/>
              </w:rPr>
              <w:t>√</w:t>
            </w:r>
          </w:p>
          <w:p w14:paraId="4767EA6C" w14:textId="261D4AF5" w:rsidR="00130D1D" w:rsidRPr="00520587" w:rsidRDefault="00130D1D" w:rsidP="00A813AC">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eastAsia="Gungsuh" w:hAnsi="Garamond"/>
                <w:b/>
                <w:bCs/>
                <w:sz w:val="14"/>
                <w:szCs w:val="14"/>
              </w:rPr>
              <w:t>as it applies</w:t>
            </w:r>
          </w:p>
        </w:tc>
        <w:tc>
          <w:tcPr>
            <w:tcW w:w="3060" w:type="dxa"/>
            <w:tcBorders>
              <w:left w:val="single" w:sz="4" w:space="0" w:color="auto"/>
              <w:bottom w:val="single" w:sz="4" w:space="0" w:color="auto"/>
            </w:tcBorders>
            <w:vAlign w:val="center"/>
          </w:tcPr>
          <w:p w14:paraId="5E310F08" w14:textId="33B5A2AA" w:rsidR="00130D1D" w:rsidRPr="00520587" w:rsidRDefault="00801963" w:rsidP="00130D1D">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 w:val="18"/>
                <w:szCs w:val="18"/>
              </w:rPr>
            </w:pPr>
            <w:r w:rsidRPr="00520587">
              <w:rPr>
                <w:rFonts w:ascii="Garamond" w:hAnsi="Garamond"/>
                <w:b/>
                <w:bCs/>
                <w:sz w:val="18"/>
                <w:szCs w:val="18"/>
              </w:rPr>
              <w:t>Mandates</w:t>
            </w:r>
          </w:p>
        </w:tc>
      </w:tr>
      <w:tr w:rsidR="00520587" w:rsidRPr="00520587" w14:paraId="42A75C0C" w14:textId="77777777" w:rsidTr="00536A4F">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30F247D5" w14:textId="77777777" w:rsidR="00130D1D" w:rsidRPr="00520587" w:rsidRDefault="00130D1D" w:rsidP="00A62701">
            <w:pPr>
              <w:jc w:val="center"/>
              <w:rPr>
                <w:rFonts w:ascii="Garamond" w:hAnsi="Garamond"/>
                <w:b w:val="0"/>
                <w:bCs w:val="0"/>
                <w:sz w:val="18"/>
                <w:szCs w:val="18"/>
              </w:rPr>
            </w:pPr>
          </w:p>
        </w:tc>
        <w:tc>
          <w:tcPr>
            <w:tcW w:w="1429" w:type="dxa"/>
            <w:vMerge/>
            <w:tcBorders>
              <w:right w:val="single" w:sz="4" w:space="0" w:color="auto"/>
            </w:tcBorders>
            <w:vAlign w:val="center"/>
          </w:tcPr>
          <w:p w14:paraId="59BA8427" w14:textId="77777777" w:rsidR="00130D1D" w:rsidRPr="00520587" w:rsidRDefault="00130D1D" w:rsidP="00A62701">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tc>
        <w:tc>
          <w:tcPr>
            <w:tcW w:w="1091" w:type="dxa"/>
            <w:gridSpan w:val="3"/>
            <w:tcBorders>
              <w:top w:val="single" w:sz="4" w:space="0" w:color="auto"/>
              <w:left w:val="single" w:sz="4" w:space="0" w:color="auto"/>
              <w:bottom w:val="single" w:sz="4" w:space="0" w:color="auto"/>
            </w:tcBorders>
            <w:vAlign w:val="center"/>
          </w:tcPr>
          <w:p w14:paraId="636CBAD6" w14:textId="3A0B453F" w:rsidR="00130D1D" w:rsidRPr="00520587" w:rsidRDefault="00A813AC" w:rsidP="00A813AC">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b/>
                <w:bCs/>
                <w:sz w:val="14"/>
                <w:szCs w:val="14"/>
              </w:rPr>
              <w:t>X</w:t>
            </w:r>
          </w:p>
        </w:tc>
        <w:tc>
          <w:tcPr>
            <w:tcW w:w="3060" w:type="dxa"/>
            <w:tcBorders>
              <w:top w:val="single" w:sz="4" w:space="0" w:color="auto"/>
              <w:left w:val="single" w:sz="4" w:space="0" w:color="auto"/>
              <w:bottom w:val="single" w:sz="4" w:space="0" w:color="auto"/>
            </w:tcBorders>
            <w:vAlign w:val="center"/>
          </w:tcPr>
          <w:p w14:paraId="5D488872" w14:textId="609D51DA" w:rsidR="00130D1D" w:rsidRPr="00520587" w:rsidRDefault="00D50502" w:rsidP="00D50502">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Concurrent consumer protection mandate</w:t>
            </w:r>
          </w:p>
        </w:tc>
      </w:tr>
      <w:tr w:rsidR="00520587" w:rsidRPr="00520587" w14:paraId="5DF5CB88" w14:textId="77777777" w:rsidTr="00536A4F">
        <w:trPr>
          <w:trHeight w:val="377"/>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30EA9AF6" w14:textId="77777777" w:rsidR="00130D1D" w:rsidRPr="00520587" w:rsidRDefault="00130D1D" w:rsidP="00A62701">
            <w:pPr>
              <w:jc w:val="center"/>
              <w:rPr>
                <w:rFonts w:ascii="Garamond" w:hAnsi="Garamond"/>
                <w:b w:val="0"/>
                <w:bCs w:val="0"/>
                <w:sz w:val="18"/>
                <w:szCs w:val="18"/>
              </w:rPr>
            </w:pPr>
          </w:p>
        </w:tc>
        <w:tc>
          <w:tcPr>
            <w:tcW w:w="1429" w:type="dxa"/>
            <w:vMerge/>
            <w:tcBorders>
              <w:right w:val="single" w:sz="4" w:space="0" w:color="auto"/>
            </w:tcBorders>
            <w:vAlign w:val="center"/>
          </w:tcPr>
          <w:p w14:paraId="3347A10A" w14:textId="77777777" w:rsidR="00130D1D" w:rsidRPr="00520587" w:rsidRDefault="00130D1D" w:rsidP="00A62701">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1091" w:type="dxa"/>
            <w:gridSpan w:val="3"/>
            <w:tcBorders>
              <w:top w:val="single" w:sz="4" w:space="0" w:color="auto"/>
              <w:left w:val="single" w:sz="4" w:space="0" w:color="auto"/>
            </w:tcBorders>
            <w:vAlign w:val="center"/>
          </w:tcPr>
          <w:p w14:paraId="5DF9D605" w14:textId="5D6C6790" w:rsidR="00130D1D" w:rsidRPr="00520587" w:rsidRDefault="00A813AC" w:rsidP="00A813AC">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b/>
                <w:bCs/>
                <w:sz w:val="14"/>
                <w:szCs w:val="14"/>
              </w:rPr>
              <w:t>X</w:t>
            </w:r>
          </w:p>
        </w:tc>
        <w:tc>
          <w:tcPr>
            <w:tcW w:w="3060" w:type="dxa"/>
            <w:tcBorders>
              <w:top w:val="single" w:sz="4" w:space="0" w:color="auto"/>
              <w:left w:val="single" w:sz="4" w:space="0" w:color="auto"/>
            </w:tcBorders>
            <w:vAlign w:val="center"/>
          </w:tcPr>
          <w:p w14:paraId="54947267" w14:textId="57F47616" w:rsidR="00130D1D" w:rsidRPr="00520587" w:rsidRDefault="00DF1A5B" w:rsidP="00D50502">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Concurrent IP mandate</w:t>
            </w:r>
          </w:p>
        </w:tc>
      </w:tr>
      <w:tr w:rsidR="00520587" w:rsidRPr="00520587" w14:paraId="087639CF" w14:textId="77777777" w:rsidTr="00536A4F">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9355" w:type="dxa"/>
            <w:gridSpan w:val="6"/>
            <w:vAlign w:val="center"/>
          </w:tcPr>
          <w:p w14:paraId="7A0E0F84" w14:textId="2FD81734" w:rsidR="00234D08" w:rsidRPr="00520587" w:rsidRDefault="00234D08" w:rsidP="00536A4F">
            <w:pPr>
              <w:jc w:val="center"/>
              <w:rPr>
                <w:rFonts w:ascii="Garamond" w:hAnsi="Garamond"/>
                <w:b w:val="0"/>
                <w:bCs w:val="0"/>
                <w:smallCaps/>
              </w:rPr>
            </w:pPr>
            <w:r w:rsidRPr="00520587">
              <w:rPr>
                <w:rFonts w:ascii="Garamond" w:hAnsi="Garamond"/>
                <w:smallCaps/>
              </w:rPr>
              <w:t>Portfolio Instruments</w:t>
            </w:r>
          </w:p>
        </w:tc>
      </w:tr>
      <w:tr w:rsidR="00520587" w:rsidRPr="00520587" w14:paraId="118DA198" w14:textId="77777777" w:rsidTr="00536A4F">
        <w:trPr>
          <w:trHeight w:val="260"/>
        </w:trPr>
        <w:tc>
          <w:tcPr>
            <w:cnfStyle w:val="001000000000" w:firstRow="0" w:lastRow="0" w:firstColumn="1" w:lastColumn="0" w:oddVBand="0" w:evenVBand="0" w:oddHBand="0" w:evenHBand="0" w:firstRowFirstColumn="0" w:firstRowLastColumn="0" w:lastRowFirstColumn="0" w:lastRowLastColumn="0"/>
            <w:tcW w:w="9355" w:type="dxa"/>
            <w:gridSpan w:val="6"/>
            <w:vAlign w:val="center"/>
          </w:tcPr>
          <w:p w14:paraId="3AF2D978" w14:textId="4EE41CB8" w:rsidR="00234D08" w:rsidRPr="00520587" w:rsidRDefault="00234D08" w:rsidP="00234D08">
            <w:pPr>
              <w:jc w:val="left"/>
              <w:rPr>
                <w:rFonts w:ascii="Garamond" w:hAnsi="Garamond"/>
                <w:sz w:val="18"/>
                <w:szCs w:val="18"/>
              </w:rPr>
            </w:pPr>
            <w:r w:rsidRPr="00520587">
              <w:rPr>
                <w:rFonts w:ascii="Garamond" w:hAnsi="Garamond"/>
                <w:sz w:val="20"/>
                <w:szCs w:val="20"/>
              </w:rPr>
              <w:t>Law Enforcement</w:t>
            </w:r>
          </w:p>
        </w:tc>
      </w:tr>
      <w:tr w:rsidR="00520587" w:rsidRPr="00520587" w14:paraId="4FB4A6F4" w14:textId="68F58676" w:rsidTr="008964DB">
        <w:trPr>
          <w:cnfStyle w:val="000000100000" w:firstRow="0" w:lastRow="0" w:firstColumn="0" w:lastColumn="0" w:oddVBand="0" w:evenVBand="0" w:oddHBand="1" w:evenHBand="0" w:firstRowFirstColumn="0" w:firstRowLastColumn="0" w:lastRowFirstColumn="0" w:lastRowLastColumn="0"/>
          <w:trHeight w:val="1259"/>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03684FD9" w14:textId="08093899" w:rsidR="00871EEA" w:rsidRPr="00520587" w:rsidRDefault="00871EEA" w:rsidP="0063315B">
            <w:pPr>
              <w:jc w:val="center"/>
              <w:rPr>
                <w:rFonts w:ascii="Garamond" w:hAnsi="Garamond"/>
                <w:b w:val="0"/>
                <w:bCs w:val="0"/>
                <w:sz w:val="18"/>
                <w:szCs w:val="18"/>
              </w:rPr>
            </w:pPr>
            <w:r w:rsidRPr="00520587">
              <w:rPr>
                <w:rFonts w:ascii="Garamond" w:hAnsi="Garamond"/>
                <w:b w:val="0"/>
                <w:bCs w:val="0"/>
                <w:sz w:val="18"/>
                <w:szCs w:val="18"/>
              </w:rPr>
              <w:t>Does the Competition Authority have powers to investigate cartels?</w:t>
            </w:r>
          </w:p>
        </w:tc>
        <w:tc>
          <w:tcPr>
            <w:tcW w:w="1429" w:type="dxa"/>
            <w:vMerge w:val="restart"/>
            <w:tcBorders>
              <w:right w:val="single" w:sz="4" w:space="0" w:color="auto"/>
            </w:tcBorders>
            <w:vAlign w:val="center"/>
          </w:tcPr>
          <w:p w14:paraId="53CBE247" w14:textId="0CDD51A4" w:rsidR="00871EEA" w:rsidRPr="00520587" w:rsidRDefault="00871EEA"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4151" w:type="dxa"/>
            <w:gridSpan w:val="4"/>
            <w:tcBorders>
              <w:left w:val="single" w:sz="4" w:space="0" w:color="auto"/>
              <w:bottom w:val="single" w:sz="4" w:space="0" w:color="auto"/>
            </w:tcBorders>
            <w:vAlign w:val="center"/>
          </w:tcPr>
          <w:p w14:paraId="2E343DE7" w14:textId="3CE94A38" w:rsidR="00871EEA" w:rsidRPr="00520587" w:rsidRDefault="00871EEA" w:rsidP="00871EEA">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Garamond" w:hAnsi="Garamond"/>
                <w:i/>
                <w:sz w:val="17"/>
                <w:szCs w:val="17"/>
                <w:highlight w:val="green"/>
              </w:rPr>
            </w:pPr>
            <w:r w:rsidRPr="00520587">
              <w:rPr>
                <w:rFonts w:ascii="Garamond" w:hAnsi="Garamond"/>
                <w:i/>
                <w:sz w:val="17"/>
                <w:szCs w:val="17"/>
              </w:rPr>
              <w:t xml:space="preserve">[If the answer is “yes”, please </w:t>
            </w:r>
            <w:proofErr w:type="gramStart"/>
            <w:r w:rsidRPr="00520587">
              <w:rPr>
                <w:rFonts w:ascii="Garamond" w:hAnsi="Garamond"/>
                <w:i/>
                <w:sz w:val="17"/>
                <w:szCs w:val="17"/>
              </w:rPr>
              <w:t>mention</w:t>
            </w:r>
            <w:proofErr w:type="gramEnd"/>
            <w:r w:rsidRPr="00520587">
              <w:rPr>
                <w:rFonts w:ascii="Garamond" w:hAnsi="Garamond"/>
                <w:i/>
                <w:sz w:val="17"/>
                <w:szCs w:val="17"/>
              </w:rPr>
              <w:t xml:space="preserve"> the type of liability that the actions of the agency seek: civil, criminal, administrative. Introduce the relevant provisions; briefly explain if the powers of the authority are limited to certain types of cartels and what kind of sanctions can be imposed]</w:t>
            </w:r>
          </w:p>
        </w:tc>
      </w:tr>
      <w:tr w:rsidR="00520587" w:rsidRPr="00520587" w14:paraId="135D3E4A" w14:textId="77777777" w:rsidTr="00536A4F">
        <w:trPr>
          <w:trHeight w:val="440"/>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333EE18F" w14:textId="77777777" w:rsidR="00871EEA" w:rsidRPr="00520587" w:rsidRDefault="00871EEA" w:rsidP="0063315B">
            <w:pPr>
              <w:jc w:val="center"/>
              <w:rPr>
                <w:rFonts w:ascii="Garamond" w:hAnsi="Garamond"/>
                <w:sz w:val="18"/>
                <w:szCs w:val="18"/>
              </w:rPr>
            </w:pPr>
          </w:p>
        </w:tc>
        <w:tc>
          <w:tcPr>
            <w:tcW w:w="1429" w:type="dxa"/>
            <w:vMerge/>
            <w:tcBorders>
              <w:right w:val="single" w:sz="4" w:space="0" w:color="auto"/>
            </w:tcBorders>
            <w:vAlign w:val="center"/>
          </w:tcPr>
          <w:p w14:paraId="0E60017F" w14:textId="77777777" w:rsidR="00871EEA" w:rsidRPr="00520587" w:rsidRDefault="00871EEA"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tcPr>
          <w:p w14:paraId="43379B0B" w14:textId="158E5622" w:rsidR="00DA20A4" w:rsidRPr="00520587" w:rsidRDefault="00EC4E9D" w:rsidP="00762186">
            <w:p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The power of the Bangladesh Competition Commission is not limited to certain types of cartels because the Commission can inquire into any agreement if it has reason to believe that such agreement is harmful to the relevant market.</w:t>
            </w:r>
            <w:r w:rsidR="00250438" w:rsidRPr="00520587">
              <w:rPr>
                <w:rFonts w:ascii="Garamond" w:hAnsi="Garamond"/>
                <w:sz w:val="18"/>
                <w:szCs w:val="18"/>
              </w:rPr>
              <w:t xml:space="preserve"> </w:t>
            </w:r>
            <w:r w:rsidR="00250438" w:rsidRPr="00520587">
              <w:rPr>
                <w:rFonts w:ascii="Garamond" w:hAnsi="Garamond"/>
                <w:i/>
                <w:iCs/>
                <w:sz w:val="18"/>
                <w:szCs w:val="18"/>
              </w:rPr>
              <w:t>See</w:t>
            </w:r>
            <w:r w:rsidR="00250438" w:rsidRPr="00520587">
              <w:rPr>
                <w:rFonts w:ascii="Garamond" w:hAnsi="Garamond"/>
                <w:sz w:val="18"/>
                <w:szCs w:val="18"/>
              </w:rPr>
              <w:t xml:space="preserve"> </w:t>
            </w:r>
            <w:r w:rsidR="00250438" w:rsidRPr="00520587">
              <w:rPr>
                <w:rStyle w:val="hgkelc"/>
                <w:rFonts w:ascii="Garamond" w:hAnsi="Garamond"/>
                <w:sz w:val="18"/>
                <w:szCs w:val="18"/>
                <w:lang w:val="en"/>
              </w:rPr>
              <w:t>§18 of the Competition Act, 2012</w:t>
            </w:r>
            <w:r w:rsidR="00D7582A" w:rsidRPr="00520587">
              <w:rPr>
                <w:rStyle w:val="hgkelc"/>
                <w:rFonts w:ascii="Garamond" w:hAnsi="Garamond"/>
                <w:sz w:val="18"/>
                <w:szCs w:val="18"/>
                <w:lang w:val="en"/>
              </w:rPr>
              <w:t>. It means the</w:t>
            </w:r>
            <w:r w:rsidR="00250438" w:rsidRPr="00520587">
              <w:rPr>
                <w:rFonts w:ascii="Garamond" w:hAnsi="Garamond"/>
                <w:sz w:val="18"/>
                <w:szCs w:val="18"/>
              </w:rPr>
              <w:t xml:space="preserve"> Commission has power to investigate horizontal and vertical cartels.</w:t>
            </w:r>
          </w:p>
          <w:p w14:paraId="31EF2375" w14:textId="108B0902" w:rsidR="00A6624E" w:rsidRPr="00520587" w:rsidRDefault="00A6624E" w:rsidP="00762186">
            <w:p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The Commission</w:t>
            </w:r>
            <w:r w:rsidR="00D7582A" w:rsidRPr="00520587">
              <w:rPr>
                <w:rFonts w:ascii="Garamond" w:hAnsi="Garamond"/>
                <w:sz w:val="18"/>
                <w:szCs w:val="18"/>
              </w:rPr>
              <w:t xml:space="preserve"> after inquiry if finds that cartel occurs may issue</w:t>
            </w:r>
            <w:r w:rsidRPr="00520587">
              <w:rPr>
                <w:rFonts w:ascii="Garamond" w:hAnsi="Garamond"/>
                <w:sz w:val="18"/>
                <w:szCs w:val="18"/>
              </w:rPr>
              <w:t xml:space="preserve"> order directing any person involved in </w:t>
            </w:r>
            <w:r w:rsidR="00D7582A" w:rsidRPr="00520587">
              <w:rPr>
                <w:rFonts w:ascii="Garamond" w:hAnsi="Garamond"/>
                <w:sz w:val="18"/>
                <w:szCs w:val="18"/>
              </w:rPr>
              <w:t xml:space="preserve">that </w:t>
            </w:r>
            <w:r w:rsidRPr="00520587">
              <w:rPr>
                <w:rFonts w:ascii="Garamond" w:hAnsi="Garamond"/>
                <w:sz w:val="18"/>
                <w:szCs w:val="18"/>
              </w:rPr>
              <w:t>cartels:</w:t>
            </w:r>
          </w:p>
          <w:p w14:paraId="0D778EC2" w14:textId="1DB34BCA" w:rsidR="00A6624E" w:rsidRPr="00520587" w:rsidRDefault="00A6624E" w:rsidP="007C4481">
            <w:pPr>
              <w:pStyle w:val="ListParagraph"/>
              <w:numPr>
                <w:ilvl w:val="0"/>
                <w:numId w:val="11"/>
              </w:num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to discontinue such activities and not to get involved in such activities again; and</w:t>
            </w:r>
          </w:p>
          <w:p w14:paraId="725EEBE7" w14:textId="77777777" w:rsidR="00A6624E" w:rsidRPr="00520587" w:rsidRDefault="00A6624E" w:rsidP="007C4481">
            <w:pPr>
              <w:pStyle w:val="ListParagraph"/>
              <w:numPr>
                <w:ilvl w:val="0"/>
                <w:numId w:val="11"/>
              </w:num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to impose upon ever person involved in that cartel an administrative financial penalty; and</w:t>
            </w:r>
          </w:p>
          <w:p w14:paraId="03346DFE" w14:textId="77777777" w:rsidR="00A6624E" w:rsidRPr="00520587" w:rsidRDefault="00A6624E" w:rsidP="007C4481">
            <w:pPr>
              <w:pStyle w:val="ListParagraph"/>
              <w:numPr>
                <w:ilvl w:val="0"/>
                <w:numId w:val="11"/>
              </w:num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to impose fine when fails to pay financial penalty; and</w:t>
            </w:r>
          </w:p>
          <w:p w14:paraId="0D3F6B19" w14:textId="46476562" w:rsidR="00B36F47" w:rsidRPr="00520587" w:rsidRDefault="00A6624E" w:rsidP="007C4481">
            <w:pPr>
              <w:pStyle w:val="ListParagraph"/>
              <w:numPr>
                <w:ilvl w:val="0"/>
                <w:numId w:val="11"/>
              </w:num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any order for the preservation of competition. </w:t>
            </w:r>
            <w:r w:rsidR="00B62459" w:rsidRPr="00520587">
              <w:rPr>
                <w:rFonts w:ascii="Garamond" w:hAnsi="Garamond"/>
                <w:sz w:val="18"/>
                <w:szCs w:val="18"/>
              </w:rPr>
              <w:t xml:space="preserve">Id. </w:t>
            </w:r>
            <w:r w:rsidR="00B62459" w:rsidRPr="00520587">
              <w:rPr>
                <w:rStyle w:val="hgkelc"/>
                <w:rFonts w:ascii="Garamond" w:hAnsi="Garamond"/>
                <w:sz w:val="18"/>
                <w:szCs w:val="18"/>
                <w:lang w:val="en"/>
              </w:rPr>
              <w:t xml:space="preserve">§20. </w:t>
            </w:r>
          </w:p>
          <w:p w14:paraId="142610BF" w14:textId="40E53D1C" w:rsidR="00B62459" w:rsidRPr="00520587" w:rsidRDefault="00B62459" w:rsidP="00B62459">
            <w:p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The contravention of the Commission’s order without reasonable cause is an offence and the Commission can file a criminal complaint for such contravention to the Magistrate of First Class or Metropolitan Magistrate</w:t>
            </w:r>
            <w:r w:rsidR="00330B5B" w:rsidRPr="00520587">
              <w:rPr>
                <w:rFonts w:ascii="Garamond" w:hAnsi="Garamond"/>
                <w:sz w:val="18"/>
                <w:szCs w:val="18"/>
              </w:rPr>
              <w:t xml:space="preserve"> Court</w:t>
            </w:r>
            <w:r w:rsidRPr="00520587">
              <w:rPr>
                <w:rFonts w:ascii="Garamond" w:hAnsi="Garamond"/>
                <w:sz w:val="18"/>
                <w:szCs w:val="18"/>
              </w:rPr>
              <w:t>. Id.</w:t>
            </w:r>
            <w:r w:rsidRPr="00520587">
              <w:rPr>
                <w:rStyle w:val="hgkelc"/>
                <w:rFonts w:ascii="Garamond" w:hAnsi="Garamond"/>
                <w:sz w:val="18"/>
                <w:szCs w:val="18"/>
                <w:lang w:val="en"/>
              </w:rPr>
              <w:t xml:space="preserve"> §§24-25.</w:t>
            </w:r>
          </w:p>
        </w:tc>
      </w:tr>
      <w:tr w:rsidR="00520587" w:rsidRPr="00520587" w14:paraId="33967FB7" w14:textId="3E7B6C42" w:rsidTr="0095797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0D8A0D75" w14:textId="027BA42F" w:rsidR="00871EEA" w:rsidRPr="00520587" w:rsidRDefault="00871EEA" w:rsidP="0063315B">
            <w:pPr>
              <w:jc w:val="center"/>
              <w:rPr>
                <w:rFonts w:ascii="Garamond" w:hAnsi="Garamond"/>
                <w:b w:val="0"/>
                <w:bCs w:val="0"/>
                <w:sz w:val="18"/>
                <w:szCs w:val="18"/>
              </w:rPr>
            </w:pPr>
            <w:r w:rsidRPr="00520587">
              <w:rPr>
                <w:rFonts w:ascii="Garamond" w:hAnsi="Garamond"/>
                <w:b w:val="0"/>
                <w:bCs w:val="0"/>
                <w:sz w:val="18"/>
                <w:szCs w:val="18"/>
              </w:rPr>
              <w:lastRenderedPageBreak/>
              <w:t>Does the Competition Authority have powers to investigate unilateral conduct?</w:t>
            </w:r>
          </w:p>
        </w:tc>
        <w:tc>
          <w:tcPr>
            <w:tcW w:w="1429" w:type="dxa"/>
            <w:vMerge w:val="restart"/>
            <w:tcBorders>
              <w:right w:val="single" w:sz="4" w:space="0" w:color="auto"/>
            </w:tcBorders>
            <w:vAlign w:val="center"/>
          </w:tcPr>
          <w:p w14:paraId="04330013" w14:textId="68D862ED" w:rsidR="00871EEA" w:rsidRPr="00520587" w:rsidRDefault="00871EEA"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4151" w:type="dxa"/>
            <w:gridSpan w:val="4"/>
            <w:tcBorders>
              <w:left w:val="single" w:sz="4" w:space="0" w:color="auto"/>
              <w:bottom w:val="single" w:sz="4" w:space="0" w:color="auto"/>
            </w:tcBorders>
            <w:vAlign w:val="center"/>
          </w:tcPr>
          <w:p w14:paraId="1FF4F805" w14:textId="5CD11C83" w:rsidR="00871EEA" w:rsidRPr="00520587" w:rsidRDefault="0095797F" w:rsidP="00304CD7">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[If the answer is “yes”, please mention briefly if the competition authority is invested with the power to pursue exploitative and exclusionary effects, also refer to relevant provisions, the type of liability that the actions of the authority seek, and what kind of sanctions can be imposed]</w:t>
            </w:r>
          </w:p>
        </w:tc>
      </w:tr>
      <w:tr w:rsidR="00520587" w:rsidRPr="00520587" w14:paraId="60793C03" w14:textId="77777777" w:rsidTr="00871EEA">
        <w:trPr>
          <w:trHeight w:val="1560"/>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510A7634" w14:textId="77777777" w:rsidR="00871EEA" w:rsidRPr="00520587" w:rsidRDefault="00871EEA"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19658B6D" w14:textId="77777777" w:rsidR="00871EEA" w:rsidRPr="00520587" w:rsidRDefault="00871EEA"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77D1788B" w14:textId="5D3FA315" w:rsidR="009218FE" w:rsidRPr="00520587" w:rsidRDefault="00871EEA" w:rsidP="0075351B">
            <w:pPr>
              <w:spacing w:after="80"/>
              <w:cnfStyle w:val="000000000000" w:firstRow="0" w:lastRow="0" w:firstColumn="0" w:lastColumn="0" w:oddVBand="0" w:evenVBand="0" w:oddHBand="0" w:evenHBand="0" w:firstRowFirstColumn="0" w:firstRowLastColumn="0" w:lastRowFirstColumn="0" w:lastRowLastColumn="0"/>
              <w:rPr>
                <w:rStyle w:val="hgkelc"/>
                <w:rFonts w:ascii="Garamond" w:hAnsi="Garamond"/>
                <w:sz w:val="18"/>
                <w:szCs w:val="18"/>
                <w:lang w:val="en"/>
              </w:rPr>
            </w:pPr>
            <w:r w:rsidRPr="00520587">
              <w:rPr>
                <w:rFonts w:ascii="Garamond" w:hAnsi="Garamond"/>
                <w:sz w:val="18"/>
                <w:szCs w:val="18"/>
              </w:rPr>
              <w:t xml:space="preserve">Anti-competitive unilateral conduct generally involves conduct by an enterprise that has substantial power in a market. If the Commission has reason to believe that any enterprise has misused </w:t>
            </w:r>
            <w:r w:rsidR="004324E1" w:rsidRPr="00520587">
              <w:rPr>
                <w:rFonts w:ascii="Garamond" w:hAnsi="Garamond"/>
                <w:sz w:val="18"/>
                <w:szCs w:val="18"/>
              </w:rPr>
              <w:t xml:space="preserve">its </w:t>
            </w:r>
            <w:r w:rsidRPr="00520587">
              <w:rPr>
                <w:rFonts w:ascii="Garamond" w:hAnsi="Garamond"/>
                <w:sz w:val="18"/>
                <w:szCs w:val="18"/>
              </w:rPr>
              <w:t xml:space="preserve">dominant position which is harmful to the relevant market, the Commission may inquire into the matter. See </w:t>
            </w:r>
            <w:r w:rsidRPr="00520587">
              <w:rPr>
                <w:rStyle w:val="hgkelc"/>
                <w:rFonts w:ascii="Garamond" w:hAnsi="Garamond"/>
                <w:sz w:val="18"/>
                <w:szCs w:val="18"/>
                <w:lang w:val="en"/>
              </w:rPr>
              <w:t>§18 of the Competition Act, 2012.</w:t>
            </w:r>
          </w:p>
          <w:p w14:paraId="788E221A" w14:textId="20893A96" w:rsidR="009218FE" w:rsidRPr="00520587" w:rsidRDefault="009218FE" w:rsidP="0075351B">
            <w:pPr>
              <w:spacing w:after="80"/>
              <w:cnfStyle w:val="000000000000" w:firstRow="0" w:lastRow="0" w:firstColumn="0" w:lastColumn="0" w:oddVBand="0" w:evenVBand="0" w:oddHBand="0" w:evenHBand="0" w:firstRowFirstColumn="0" w:firstRowLastColumn="0" w:lastRowFirstColumn="0" w:lastRowLastColumn="0"/>
              <w:rPr>
                <w:rStyle w:val="hgkelc"/>
                <w:rFonts w:ascii="Garamond" w:hAnsi="Garamond"/>
                <w:sz w:val="18"/>
                <w:szCs w:val="18"/>
                <w:lang w:val="en"/>
              </w:rPr>
            </w:pPr>
            <w:r w:rsidRPr="00520587">
              <w:rPr>
                <w:rStyle w:val="hgkelc"/>
                <w:rFonts w:ascii="Garamond" w:hAnsi="Garamond"/>
                <w:sz w:val="18"/>
                <w:szCs w:val="18"/>
                <w:lang w:val="en"/>
              </w:rPr>
              <w:t xml:space="preserve">The Act </w:t>
            </w:r>
            <w:proofErr w:type="spellStart"/>
            <w:r w:rsidRPr="00520587">
              <w:rPr>
                <w:rStyle w:val="hgkelc"/>
                <w:rFonts w:ascii="Garamond" w:hAnsi="Garamond"/>
                <w:sz w:val="18"/>
                <w:szCs w:val="18"/>
                <w:lang w:val="en"/>
              </w:rPr>
              <w:t>probits</w:t>
            </w:r>
            <w:proofErr w:type="spellEnd"/>
            <w:r w:rsidRPr="00520587">
              <w:rPr>
                <w:rStyle w:val="hgkelc"/>
                <w:rFonts w:ascii="Garamond" w:hAnsi="Garamond"/>
                <w:sz w:val="18"/>
                <w:szCs w:val="18"/>
                <w:lang w:val="en"/>
              </w:rPr>
              <w:t xml:space="preserve"> that no enterprise shall abuse its dominant position. It shall be deemed to be an abuse of dominant position </w:t>
            </w:r>
            <w:r w:rsidRPr="00520587">
              <w:rPr>
                <w:rFonts w:ascii="Garamond" w:hAnsi="Garamond"/>
                <w:sz w:val="18"/>
                <w:szCs w:val="18"/>
              </w:rPr>
              <w:t xml:space="preserve">if an enterprise (a) imposes directly or indirectly unfair or discriminatory conditions in the purchase or sale of goods or service or discriminatory price or predatory price in the purchase or sale of goods or service; (b) limits or restricts the production of goods or provision of services or market thereof or technical or scientific development relating to goods or services to the prejudice of consumers; (c) indulges in practice or continues to conduct practices which deny the market access of others; (d) makes the conclusion of contracts subject to acceptance by other parties of supplementary obligations which, by their nature or according to commercial usage, have no connection with the subject of such contracts; or (e) uses its dominant position in one relevant market to enter into or protect another relevant market. Id. </w:t>
            </w:r>
            <w:r w:rsidRPr="00520587">
              <w:rPr>
                <w:rStyle w:val="hgkelc"/>
                <w:rFonts w:ascii="Garamond" w:hAnsi="Garamond"/>
                <w:sz w:val="18"/>
                <w:szCs w:val="18"/>
                <w:lang w:val="en"/>
              </w:rPr>
              <w:t>§16 (1) &amp; (2).</w:t>
            </w:r>
          </w:p>
          <w:p w14:paraId="7C1E7220" w14:textId="51FB55F8" w:rsidR="0075351B" w:rsidRPr="00520587" w:rsidRDefault="0075351B" w:rsidP="0075351B">
            <w:p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The Commission after inquiry if finds that abuse of dominant position occurs may issue order directing any person involved in that abuse:</w:t>
            </w:r>
          </w:p>
          <w:p w14:paraId="370D232C" w14:textId="77777777" w:rsidR="0075351B" w:rsidRPr="00520587" w:rsidRDefault="0075351B" w:rsidP="007C4481">
            <w:pPr>
              <w:pStyle w:val="ListParagraph"/>
              <w:numPr>
                <w:ilvl w:val="0"/>
                <w:numId w:val="12"/>
              </w:num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to discontinue such activities and not to get involved in such activities again; and</w:t>
            </w:r>
          </w:p>
          <w:p w14:paraId="0E0B180B" w14:textId="77777777" w:rsidR="0075351B" w:rsidRPr="00520587" w:rsidRDefault="0075351B" w:rsidP="007C4481">
            <w:pPr>
              <w:pStyle w:val="ListParagraph"/>
              <w:numPr>
                <w:ilvl w:val="0"/>
                <w:numId w:val="12"/>
              </w:num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to impose upon ever person involved in that cartel an administrative financial penalty; and</w:t>
            </w:r>
          </w:p>
          <w:p w14:paraId="5AA6154B" w14:textId="77777777" w:rsidR="0075351B" w:rsidRPr="00520587" w:rsidRDefault="0075351B" w:rsidP="007C4481">
            <w:pPr>
              <w:pStyle w:val="ListParagraph"/>
              <w:numPr>
                <w:ilvl w:val="0"/>
                <w:numId w:val="12"/>
              </w:num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to impose fine when fails to pay financial penalty; and</w:t>
            </w:r>
          </w:p>
          <w:p w14:paraId="5727353D" w14:textId="77777777" w:rsidR="00871EEA" w:rsidRPr="00520587" w:rsidRDefault="0075351B" w:rsidP="007C4481">
            <w:pPr>
              <w:pStyle w:val="ListParagraph"/>
              <w:numPr>
                <w:ilvl w:val="0"/>
                <w:numId w:val="12"/>
              </w:numPr>
              <w:spacing w:after="80"/>
              <w:ind w:left="619" w:hanging="331"/>
              <w:cnfStyle w:val="000000000000" w:firstRow="0" w:lastRow="0" w:firstColumn="0" w:lastColumn="0" w:oddVBand="0" w:evenVBand="0" w:oddHBand="0" w:evenHBand="0" w:firstRowFirstColumn="0" w:firstRowLastColumn="0" w:lastRowFirstColumn="0" w:lastRowLastColumn="0"/>
              <w:rPr>
                <w:rStyle w:val="hgkelc"/>
                <w:rFonts w:ascii="Garamond" w:hAnsi="Garamond"/>
                <w:sz w:val="18"/>
                <w:szCs w:val="18"/>
              </w:rPr>
            </w:pPr>
            <w:r w:rsidRPr="00520587">
              <w:rPr>
                <w:rFonts w:ascii="Garamond" w:hAnsi="Garamond"/>
                <w:sz w:val="18"/>
                <w:szCs w:val="18"/>
              </w:rPr>
              <w:t xml:space="preserve">any order for the preservation of competition. Id. </w:t>
            </w:r>
            <w:r w:rsidRPr="00520587">
              <w:rPr>
                <w:rStyle w:val="hgkelc"/>
                <w:rFonts w:ascii="Garamond" w:hAnsi="Garamond"/>
                <w:sz w:val="18"/>
                <w:szCs w:val="18"/>
                <w:lang w:val="en"/>
              </w:rPr>
              <w:t xml:space="preserve">§20. </w:t>
            </w:r>
          </w:p>
          <w:p w14:paraId="67A2829A" w14:textId="321DFF29" w:rsidR="0075351B" w:rsidRPr="00520587" w:rsidRDefault="0075351B" w:rsidP="0075351B">
            <w:pPr>
              <w:spacing w:after="6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The contravention of the Commission’s order without reasonable cause is an offence and the Commission can file a criminal complaint for such contravention to the Magistrate of First Class or Metropolitan Magistrate Court. Id.</w:t>
            </w:r>
            <w:r w:rsidRPr="00520587">
              <w:rPr>
                <w:rStyle w:val="hgkelc"/>
                <w:rFonts w:ascii="Garamond" w:hAnsi="Garamond"/>
                <w:sz w:val="18"/>
                <w:szCs w:val="18"/>
                <w:lang w:val="en"/>
              </w:rPr>
              <w:t xml:space="preserve"> §§24-25.</w:t>
            </w:r>
          </w:p>
        </w:tc>
      </w:tr>
      <w:tr w:rsidR="00520587" w:rsidRPr="00520587" w14:paraId="6E3EFB9D" w14:textId="6A27F478" w:rsidTr="00C8380F">
        <w:trPr>
          <w:cnfStyle w:val="000000100000" w:firstRow="0" w:lastRow="0" w:firstColumn="0" w:lastColumn="0" w:oddVBand="0" w:evenVBand="0" w:oddHBand="1" w:evenHBand="0" w:firstRowFirstColumn="0" w:firstRowLastColumn="0" w:lastRowFirstColumn="0" w:lastRowLastColumn="0"/>
          <w:trHeight w:val="683"/>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085BCF3B" w14:textId="25F7C832" w:rsidR="00C8380F" w:rsidRPr="00520587" w:rsidRDefault="00C8380F" w:rsidP="0063315B">
            <w:pPr>
              <w:jc w:val="center"/>
              <w:rPr>
                <w:rFonts w:ascii="Garamond" w:hAnsi="Garamond"/>
                <w:b w:val="0"/>
                <w:bCs w:val="0"/>
                <w:sz w:val="18"/>
                <w:szCs w:val="18"/>
              </w:rPr>
            </w:pPr>
            <w:r w:rsidRPr="00520587">
              <w:rPr>
                <w:rFonts w:ascii="Garamond" w:hAnsi="Garamond"/>
                <w:b w:val="0"/>
                <w:bCs w:val="0"/>
                <w:sz w:val="18"/>
                <w:szCs w:val="18"/>
              </w:rPr>
              <w:t>Does the Competition Authority have the powers to conduct ex-ante merger review?</w:t>
            </w:r>
          </w:p>
        </w:tc>
        <w:tc>
          <w:tcPr>
            <w:tcW w:w="1429" w:type="dxa"/>
            <w:vMerge w:val="restart"/>
            <w:tcBorders>
              <w:right w:val="single" w:sz="4" w:space="0" w:color="auto"/>
            </w:tcBorders>
            <w:vAlign w:val="center"/>
          </w:tcPr>
          <w:p w14:paraId="4529C387" w14:textId="543E5624" w:rsidR="00C8380F" w:rsidRPr="00520587" w:rsidRDefault="00C8380F"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Silent</w:t>
            </w:r>
          </w:p>
        </w:tc>
        <w:tc>
          <w:tcPr>
            <w:tcW w:w="4151" w:type="dxa"/>
            <w:gridSpan w:val="4"/>
            <w:tcBorders>
              <w:left w:val="single" w:sz="4" w:space="0" w:color="auto"/>
              <w:bottom w:val="single" w:sz="4" w:space="0" w:color="auto"/>
            </w:tcBorders>
            <w:vAlign w:val="center"/>
          </w:tcPr>
          <w:p w14:paraId="19DA8D97" w14:textId="73E8B997" w:rsidR="00C8380F" w:rsidRPr="00520587" w:rsidRDefault="00C8380F"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 xml:space="preserve">[If the answer is “yes”, please briefly </w:t>
            </w:r>
            <w:proofErr w:type="gramStart"/>
            <w:r w:rsidRPr="00520587">
              <w:rPr>
                <w:rFonts w:ascii="Garamond" w:hAnsi="Garamond"/>
                <w:i/>
                <w:sz w:val="18"/>
                <w:szCs w:val="18"/>
              </w:rPr>
              <w:t>explain</w:t>
            </w:r>
            <w:proofErr w:type="gramEnd"/>
            <w:r w:rsidRPr="00520587">
              <w:rPr>
                <w:rFonts w:ascii="Garamond" w:hAnsi="Garamond"/>
                <w:i/>
                <w:sz w:val="18"/>
                <w:szCs w:val="18"/>
              </w:rPr>
              <w:t xml:space="preserve"> the process and which are the remedies that authority can seek or impose and mention the relevant provisions]</w:t>
            </w:r>
          </w:p>
        </w:tc>
      </w:tr>
      <w:tr w:rsidR="00520587" w:rsidRPr="00520587" w14:paraId="6135CBC0" w14:textId="77777777" w:rsidTr="00C8380F">
        <w:trPr>
          <w:trHeight w:val="262"/>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2FA977C6" w14:textId="77777777" w:rsidR="00C8380F" w:rsidRPr="00520587" w:rsidRDefault="00C8380F"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1364BFF3" w14:textId="77777777" w:rsidR="00C8380F" w:rsidRPr="00520587" w:rsidRDefault="00C8380F"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3E833177" w14:textId="77777777" w:rsidR="00C8380F" w:rsidRPr="00520587" w:rsidRDefault="00C8380F" w:rsidP="00C8380F">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b/>
                <w:bCs/>
                <w:sz w:val="18"/>
                <w:szCs w:val="18"/>
              </w:rPr>
              <w:t>Comment</w:t>
            </w:r>
          </w:p>
          <w:p w14:paraId="1B2478AA" w14:textId="147F1B09" w:rsidR="00C8380F" w:rsidRPr="00520587" w:rsidRDefault="00C8380F" w:rsidP="00C8380F">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The Competition Act, 2012, is silent as to the nature of the notification regime, that is, whether it is voluntary or mandatory and pre- or post-merger. To date, the Bangladesh Competition Commission has not reviewed nor prohibited any mergers, nor it has acted against non-compliance.</w:t>
            </w:r>
            <w:r w:rsidR="00721B25" w:rsidRPr="00520587">
              <w:rPr>
                <w:rFonts w:ascii="Garamond" w:hAnsi="Garamond"/>
                <w:sz w:val="18"/>
                <w:szCs w:val="18"/>
              </w:rPr>
              <w:t xml:space="preserve"> </w:t>
            </w:r>
          </w:p>
        </w:tc>
      </w:tr>
      <w:tr w:rsidR="00520587" w:rsidRPr="00520587" w14:paraId="3F2E131B" w14:textId="77777777" w:rsidTr="00E05613">
        <w:trPr>
          <w:cnfStyle w:val="000000100000" w:firstRow="0" w:lastRow="0" w:firstColumn="0" w:lastColumn="0" w:oddVBand="0" w:evenVBand="0" w:oddHBand="1"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20E329C2" w14:textId="1D95B509" w:rsidR="00156BB2" w:rsidRPr="00520587" w:rsidRDefault="00156BB2" w:rsidP="0063315B">
            <w:pPr>
              <w:jc w:val="center"/>
              <w:rPr>
                <w:rFonts w:ascii="Garamond" w:hAnsi="Garamond"/>
                <w:b w:val="0"/>
                <w:bCs w:val="0"/>
                <w:sz w:val="18"/>
                <w:szCs w:val="18"/>
              </w:rPr>
            </w:pPr>
            <w:r w:rsidRPr="00520587">
              <w:rPr>
                <w:rFonts w:ascii="Garamond" w:hAnsi="Garamond"/>
                <w:b w:val="0"/>
                <w:bCs w:val="0"/>
                <w:sz w:val="18"/>
                <w:szCs w:val="18"/>
              </w:rPr>
              <w:t>Is the notification of merger transactions mandatory?</w:t>
            </w:r>
          </w:p>
        </w:tc>
        <w:tc>
          <w:tcPr>
            <w:tcW w:w="1429" w:type="dxa"/>
            <w:vMerge w:val="restart"/>
            <w:tcBorders>
              <w:right w:val="single" w:sz="4" w:space="0" w:color="auto"/>
            </w:tcBorders>
            <w:vAlign w:val="center"/>
          </w:tcPr>
          <w:p w14:paraId="45C5C1CE" w14:textId="31EEA83A" w:rsidR="00156BB2" w:rsidRPr="00520587" w:rsidRDefault="00156BB2"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Silent</w:t>
            </w:r>
          </w:p>
        </w:tc>
        <w:tc>
          <w:tcPr>
            <w:tcW w:w="4151" w:type="dxa"/>
            <w:gridSpan w:val="4"/>
            <w:tcBorders>
              <w:left w:val="single" w:sz="4" w:space="0" w:color="auto"/>
              <w:bottom w:val="single" w:sz="4" w:space="0" w:color="auto"/>
            </w:tcBorders>
            <w:vAlign w:val="center"/>
          </w:tcPr>
          <w:p w14:paraId="4EA8DCDE" w14:textId="744104C7" w:rsidR="00156BB2" w:rsidRPr="00520587" w:rsidRDefault="00156BB2"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 xml:space="preserve">[If the answer is “yes”, please </w:t>
            </w:r>
            <w:proofErr w:type="gramStart"/>
            <w:r w:rsidRPr="00520587">
              <w:rPr>
                <w:rFonts w:ascii="Garamond" w:hAnsi="Garamond"/>
                <w:i/>
                <w:sz w:val="18"/>
                <w:szCs w:val="18"/>
              </w:rPr>
              <w:t>explain</w:t>
            </w:r>
            <w:proofErr w:type="gramEnd"/>
            <w:r w:rsidRPr="00520587">
              <w:rPr>
                <w:rFonts w:ascii="Garamond" w:hAnsi="Garamond"/>
                <w:i/>
                <w:sz w:val="18"/>
                <w:szCs w:val="18"/>
              </w:rPr>
              <w:t xml:space="preserve"> whether all the transactions shall be notified or if there is a threshold; mention relevant provisions]</w:t>
            </w:r>
          </w:p>
        </w:tc>
      </w:tr>
      <w:tr w:rsidR="00520587" w:rsidRPr="00520587" w14:paraId="3AE2FF47" w14:textId="77777777" w:rsidTr="00083090">
        <w:trPr>
          <w:trHeight w:val="1061"/>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0316E3CC" w14:textId="77777777" w:rsidR="00156BB2" w:rsidRPr="00520587" w:rsidRDefault="00156BB2"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202DBF96" w14:textId="77777777" w:rsidR="00156BB2" w:rsidRPr="00520587" w:rsidRDefault="00156BB2"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7A28B55E" w14:textId="77777777" w:rsidR="00156BB2" w:rsidRPr="00520587" w:rsidRDefault="00C8380F" w:rsidP="00C8380F">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 w:val="18"/>
                <w:szCs w:val="18"/>
              </w:rPr>
            </w:pPr>
            <w:r w:rsidRPr="00520587">
              <w:rPr>
                <w:rFonts w:ascii="Garamond" w:hAnsi="Garamond"/>
                <w:b/>
                <w:bCs/>
                <w:sz w:val="18"/>
                <w:szCs w:val="18"/>
              </w:rPr>
              <w:t>Comment</w:t>
            </w:r>
          </w:p>
          <w:p w14:paraId="161B92FF" w14:textId="72D21EB1" w:rsidR="00C8380F" w:rsidRPr="00520587" w:rsidRDefault="00C8380F"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The Act is silent on the regulations of notifications. However, the Commission is considering to include a binding notification requirement in the draft Mergers &amp; Acquisitions Regulation.  </w:t>
            </w:r>
          </w:p>
        </w:tc>
      </w:tr>
      <w:tr w:rsidR="00520587" w:rsidRPr="00520587" w14:paraId="39812AB0" w14:textId="77777777" w:rsidTr="00AA393F">
        <w:trPr>
          <w:cnfStyle w:val="000000100000" w:firstRow="0" w:lastRow="0" w:firstColumn="0" w:lastColumn="0" w:oddVBand="0" w:evenVBand="0" w:oddHBand="1"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7B83E92E" w14:textId="0EE0BE0E" w:rsidR="000C40D9" w:rsidRPr="00520587" w:rsidRDefault="000C40D9" w:rsidP="0063315B">
            <w:pPr>
              <w:jc w:val="center"/>
              <w:rPr>
                <w:rFonts w:ascii="Garamond" w:hAnsi="Garamond"/>
                <w:b w:val="0"/>
                <w:bCs w:val="0"/>
                <w:sz w:val="18"/>
                <w:szCs w:val="18"/>
              </w:rPr>
            </w:pPr>
            <w:r w:rsidRPr="00520587">
              <w:rPr>
                <w:rFonts w:ascii="Garamond" w:hAnsi="Garamond"/>
                <w:b w:val="0"/>
                <w:bCs w:val="0"/>
                <w:sz w:val="18"/>
                <w:szCs w:val="18"/>
              </w:rPr>
              <w:t>Can the parties close the transaction before the final decision of the authority (suspensory effect of merger notification)?</w:t>
            </w:r>
          </w:p>
        </w:tc>
        <w:tc>
          <w:tcPr>
            <w:tcW w:w="1429" w:type="dxa"/>
            <w:vMerge w:val="restart"/>
            <w:tcBorders>
              <w:right w:val="single" w:sz="4" w:space="0" w:color="auto"/>
            </w:tcBorders>
            <w:vAlign w:val="center"/>
          </w:tcPr>
          <w:p w14:paraId="0E9584F9" w14:textId="0C10FB56" w:rsidR="000C40D9" w:rsidRPr="00520587" w:rsidRDefault="000C40D9"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Silent</w:t>
            </w:r>
          </w:p>
        </w:tc>
        <w:tc>
          <w:tcPr>
            <w:tcW w:w="4151" w:type="dxa"/>
            <w:gridSpan w:val="4"/>
            <w:tcBorders>
              <w:left w:val="single" w:sz="4" w:space="0" w:color="auto"/>
              <w:bottom w:val="single" w:sz="4" w:space="0" w:color="auto"/>
            </w:tcBorders>
            <w:vAlign w:val="center"/>
          </w:tcPr>
          <w:p w14:paraId="191AF04B" w14:textId="7EE78541" w:rsidR="000C40D9" w:rsidRPr="00520587" w:rsidRDefault="00520587"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w:t>
            </w:r>
            <w:r w:rsidR="000C40D9" w:rsidRPr="00520587">
              <w:rPr>
                <w:rFonts w:ascii="Garamond" w:hAnsi="Garamond"/>
                <w:i/>
                <w:sz w:val="18"/>
                <w:szCs w:val="18"/>
              </w:rPr>
              <w:t>Please mention the relevant provisions and add any explanation that you deem necessary</w:t>
            </w:r>
            <w:r w:rsidRPr="00520587">
              <w:rPr>
                <w:rFonts w:ascii="Garamond" w:hAnsi="Garamond"/>
                <w:i/>
                <w:sz w:val="18"/>
                <w:szCs w:val="18"/>
              </w:rPr>
              <w:t>]</w:t>
            </w:r>
          </w:p>
        </w:tc>
      </w:tr>
      <w:tr w:rsidR="00520587" w:rsidRPr="00520587" w14:paraId="5714281D" w14:textId="77777777" w:rsidTr="00083090">
        <w:trPr>
          <w:trHeight w:val="1322"/>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5C173E66" w14:textId="77777777" w:rsidR="000C40D9" w:rsidRPr="00520587" w:rsidRDefault="000C40D9"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02C1C97E" w14:textId="77777777" w:rsidR="000C40D9" w:rsidRPr="00520587" w:rsidRDefault="000C40D9"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01C11FF3" w14:textId="77777777" w:rsidR="000C40D9" w:rsidRPr="00520587" w:rsidRDefault="000C40D9" w:rsidP="000C40D9">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b/>
                <w:bCs/>
                <w:sz w:val="18"/>
                <w:szCs w:val="18"/>
              </w:rPr>
              <w:t>Comment</w:t>
            </w:r>
          </w:p>
          <w:p w14:paraId="5F5B929B" w14:textId="5FCA1480" w:rsidR="000C40D9" w:rsidRPr="00520587" w:rsidRDefault="000C40D9"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Regulations on the notification and review process, including the criteria and thresholds for notification, local nexus rules, deadlines for review, applicable special investigative processes, and sanctions for non-compliance, are under way.</w:t>
            </w:r>
          </w:p>
        </w:tc>
      </w:tr>
      <w:tr w:rsidR="00520587" w:rsidRPr="00520587" w14:paraId="7CFE6C8F" w14:textId="77777777" w:rsidTr="00AA393F">
        <w:trPr>
          <w:cnfStyle w:val="000000100000" w:firstRow="0" w:lastRow="0" w:firstColumn="0" w:lastColumn="0" w:oddVBand="0" w:evenVBand="0" w:oddHBand="1"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6ED0F029" w14:textId="5F17BF80" w:rsidR="00AA393F" w:rsidRPr="00520587" w:rsidRDefault="00AA393F" w:rsidP="0063315B">
            <w:pPr>
              <w:jc w:val="center"/>
              <w:rPr>
                <w:rFonts w:ascii="Garamond" w:hAnsi="Garamond"/>
                <w:b w:val="0"/>
                <w:bCs w:val="0"/>
                <w:sz w:val="18"/>
                <w:szCs w:val="18"/>
              </w:rPr>
            </w:pPr>
            <w:r w:rsidRPr="00520587">
              <w:rPr>
                <w:rFonts w:ascii="Garamond" w:hAnsi="Garamond"/>
                <w:b w:val="0"/>
                <w:bCs w:val="0"/>
                <w:sz w:val="18"/>
                <w:szCs w:val="18"/>
              </w:rPr>
              <w:t>Does the Competition Authority have the power to carry out ex-post-merger investigation?</w:t>
            </w:r>
          </w:p>
        </w:tc>
        <w:tc>
          <w:tcPr>
            <w:tcW w:w="1429" w:type="dxa"/>
            <w:vMerge w:val="restart"/>
            <w:tcBorders>
              <w:right w:val="single" w:sz="4" w:space="0" w:color="auto"/>
            </w:tcBorders>
            <w:vAlign w:val="center"/>
          </w:tcPr>
          <w:p w14:paraId="609A5399" w14:textId="7DFBFBF7" w:rsidR="00AA393F" w:rsidRPr="00520587" w:rsidRDefault="00AA393F"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4151" w:type="dxa"/>
            <w:gridSpan w:val="4"/>
            <w:tcBorders>
              <w:left w:val="single" w:sz="4" w:space="0" w:color="auto"/>
              <w:bottom w:val="single" w:sz="4" w:space="0" w:color="auto"/>
            </w:tcBorders>
            <w:vAlign w:val="center"/>
          </w:tcPr>
          <w:p w14:paraId="1B85F46B" w14:textId="5137B7A6" w:rsidR="00AA393F" w:rsidRPr="00520587" w:rsidRDefault="00AA393F"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[Please mention relevant provisions]</w:t>
            </w:r>
          </w:p>
        </w:tc>
      </w:tr>
      <w:tr w:rsidR="00520587" w:rsidRPr="00520587" w14:paraId="20E21AE7" w14:textId="77777777" w:rsidTr="00083090">
        <w:trPr>
          <w:trHeight w:val="728"/>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71FE8C2E" w14:textId="77777777" w:rsidR="00AA393F" w:rsidRPr="00520587" w:rsidRDefault="00AA393F"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4D54AD6E" w14:textId="77777777" w:rsidR="00AA393F" w:rsidRPr="00520587" w:rsidRDefault="00AA393F"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448E4461" w14:textId="6515D2FE" w:rsidR="00AA393F" w:rsidRPr="00520587" w:rsidRDefault="00721B25"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The Commission after conducting an inquiry may approve or disapprove a merger. </w:t>
            </w:r>
            <w:r w:rsidR="00AA393F" w:rsidRPr="00520587">
              <w:rPr>
                <w:rFonts w:ascii="Garamond" w:hAnsi="Garamond" w:cs="TimesNewRoman"/>
                <w:i/>
                <w:iCs/>
                <w:kern w:val="0"/>
                <w:sz w:val="18"/>
                <w:szCs w:val="18"/>
              </w:rPr>
              <w:t>See</w:t>
            </w:r>
            <w:r w:rsidR="00AA393F" w:rsidRPr="00520587">
              <w:rPr>
                <w:rFonts w:ascii="Garamond" w:hAnsi="Garamond" w:cs="TimesNewRoman"/>
                <w:kern w:val="0"/>
                <w:sz w:val="18"/>
                <w:szCs w:val="18"/>
              </w:rPr>
              <w:t xml:space="preserve"> </w:t>
            </w:r>
            <w:r w:rsidR="00AA393F" w:rsidRPr="00520587">
              <w:rPr>
                <w:rStyle w:val="hgkelc"/>
                <w:rFonts w:ascii="Garamond" w:hAnsi="Garamond"/>
                <w:sz w:val="18"/>
                <w:szCs w:val="18"/>
                <w:lang w:val="en"/>
              </w:rPr>
              <w:t>§21</w:t>
            </w:r>
            <w:r w:rsidR="00941515" w:rsidRPr="00520587">
              <w:rPr>
                <w:rStyle w:val="hgkelc"/>
                <w:rFonts w:ascii="Garamond" w:hAnsi="Garamond"/>
                <w:sz w:val="18"/>
                <w:szCs w:val="18"/>
                <w:lang w:val="en"/>
              </w:rPr>
              <w:t xml:space="preserve"> </w:t>
            </w:r>
            <w:r w:rsidR="00AA393F" w:rsidRPr="00520587">
              <w:rPr>
                <w:rStyle w:val="hgkelc"/>
                <w:rFonts w:ascii="Garamond" w:hAnsi="Garamond"/>
                <w:sz w:val="18"/>
                <w:szCs w:val="18"/>
                <w:lang w:val="en"/>
              </w:rPr>
              <w:t>of the Competition Act, 2012.</w:t>
            </w:r>
          </w:p>
        </w:tc>
      </w:tr>
      <w:tr w:rsidR="00520587" w:rsidRPr="00520587" w14:paraId="1B6AE915" w14:textId="77777777" w:rsidTr="00083090">
        <w:trPr>
          <w:cnfStyle w:val="000000100000" w:firstRow="0" w:lastRow="0" w:firstColumn="0" w:lastColumn="0" w:oddVBand="0" w:evenVBand="0" w:oddHBand="1" w:evenHBand="0" w:firstRowFirstColumn="0" w:firstRowLastColumn="0" w:lastRowFirstColumn="0" w:lastRowLastColumn="0"/>
          <w:trHeight w:val="566"/>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3B145165" w14:textId="1CF1B72D" w:rsidR="00492451" w:rsidRPr="00520587" w:rsidRDefault="00492451" w:rsidP="0063315B">
            <w:pPr>
              <w:jc w:val="center"/>
              <w:rPr>
                <w:rFonts w:ascii="Garamond" w:hAnsi="Garamond"/>
                <w:b w:val="0"/>
                <w:bCs w:val="0"/>
                <w:sz w:val="18"/>
                <w:szCs w:val="18"/>
              </w:rPr>
            </w:pPr>
            <w:r w:rsidRPr="00520587">
              <w:rPr>
                <w:rFonts w:ascii="Garamond" w:hAnsi="Garamond"/>
                <w:b w:val="0"/>
                <w:bCs w:val="0"/>
                <w:sz w:val="18"/>
                <w:szCs w:val="18"/>
              </w:rPr>
              <w:t xml:space="preserve">Does the Competition Authority have power to impose remedies on ex-post-merger investigation? </w:t>
            </w:r>
          </w:p>
        </w:tc>
        <w:tc>
          <w:tcPr>
            <w:tcW w:w="1429" w:type="dxa"/>
            <w:vMerge w:val="restart"/>
            <w:tcBorders>
              <w:right w:val="single" w:sz="4" w:space="0" w:color="auto"/>
            </w:tcBorders>
            <w:vAlign w:val="center"/>
          </w:tcPr>
          <w:p w14:paraId="15836D5B" w14:textId="4705F53F" w:rsidR="00492451" w:rsidRPr="00520587" w:rsidRDefault="00492451"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4151" w:type="dxa"/>
            <w:gridSpan w:val="4"/>
            <w:tcBorders>
              <w:left w:val="single" w:sz="4" w:space="0" w:color="auto"/>
              <w:bottom w:val="single" w:sz="4" w:space="0" w:color="auto"/>
            </w:tcBorders>
            <w:vAlign w:val="center"/>
          </w:tcPr>
          <w:p w14:paraId="6E06F17B" w14:textId="5DAF8AB2" w:rsidR="00492451" w:rsidRPr="00520587" w:rsidRDefault="009372B3"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 xml:space="preserve">[If the answer is yes, please </w:t>
            </w:r>
            <w:proofErr w:type="gramStart"/>
            <w:r w:rsidRPr="00520587">
              <w:rPr>
                <w:rFonts w:ascii="Garamond" w:hAnsi="Garamond"/>
                <w:i/>
                <w:sz w:val="18"/>
                <w:szCs w:val="18"/>
              </w:rPr>
              <w:t>mention</w:t>
            </w:r>
            <w:proofErr w:type="gramEnd"/>
            <w:r w:rsidRPr="00520587">
              <w:rPr>
                <w:rFonts w:ascii="Garamond" w:hAnsi="Garamond"/>
                <w:i/>
                <w:sz w:val="18"/>
                <w:szCs w:val="18"/>
              </w:rPr>
              <w:t xml:space="preserve"> the remedies that the Authority can impose; mention relevant provisions]  </w:t>
            </w:r>
          </w:p>
        </w:tc>
      </w:tr>
      <w:tr w:rsidR="00520587" w:rsidRPr="00520587" w14:paraId="19E7D615" w14:textId="77777777" w:rsidTr="00083090">
        <w:trPr>
          <w:trHeight w:val="1340"/>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03771919" w14:textId="77777777" w:rsidR="00492451" w:rsidRPr="00520587" w:rsidRDefault="00492451"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0B0A975F" w14:textId="77777777" w:rsidR="00492451" w:rsidRPr="00520587" w:rsidRDefault="00492451"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2AF2970F" w14:textId="774167DF" w:rsidR="0082293F" w:rsidRPr="00520587" w:rsidRDefault="0082293F" w:rsidP="0082293F">
            <w:pPr>
              <w:jc w:val="center"/>
              <w:cnfStyle w:val="000000000000" w:firstRow="0" w:lastRow="0" w:firstColumn="0" w:lastColumn="0" w:oddVBand="0" w:evenVBand="0" w:oddHBand="0" w:evenHBand="0" w:firstRowFirstColumn="0" w:firstRowLastColumn="0" w:lastRowFirstColumn="0" w:lastRowLastColumn="0"/>
              <w:rPr>
                <w:rFonts w:ascii="Garamond" w:hAnsi="Garamond"/>
                <w:b/>
                <w:bCs/>
                <w:sz w:val="18"/>
                <w:szCs w:val="18"/>
              </w:rPr>
            </w:pPr>
            <w:r w:rsidRPr="00520587">
              <w:rPr>
                <w:rFonts w:ascii="Garamond" w:hAnsi="Garamond"/>
                <w:b/>
                <w:bCs/>
                <w:sz w:val="18"/>
                <w:szCs w:val="18"/>
              </w:rPr>
              <w:t>Disapprove Merger.</w:t>
            </w:r>
          </w:p>
          <w:p w14:paraId="305DCF56" w14:textId="087C7DCB" w:rsidR="00492451" w:rsidRPr="00520587" w:rsidRDefault="00492451"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If the Commission after inquiry is satisfied that a combination shall cause or is likely to cause an adverse effect on competition, the Commission shall not approve such combination. </w:t>
            </w:r>
            <w:r w:rsidRPr="00520587">
              <w:rPr>
                <w:rFonts w:ascii="Garamond" w:hAnsi="Garamond" w:cs="TimesNewRoman"/>
                <w:i/>
                <w:iCs/>
                <w:kern w:val="0"/>
                <w:sz w:val="18"/>
                <w:szCs w:val="18"/>
              </w:rPr>
              <w:t>See</w:t>
            </w:r>
            <w:r w:rsidRPr="00520587">
              <w:rPr>
                <w:rFonts w:ascii="Garamond" w:hAnsi="Garamond" w:cs="TimesNewRoman"/>
                <w:kern w:val="0"/>
                <w:sz w:val="18"/>
                <w:szCs w:val="18"/>
              </w:rPr>
              <w:t xml:space="preserve"> </w:t>
            </w:r>
            <w:r w:rsidRPr="00520587">
              <w:rPr>
                <w:rStyle w:val="hgkelc"/>
                <w:rFonts w:ascii="Garamond" w:hAnsi="Garamond"/>
                <w:sz w:val="18"/>
                <w:szCs w:val="18"/>
                <w:lang w:val="en"/>
              </w:rPr>
              <w:t>§21(2)(b) of the Competition Act, 2012.</w:t>
            </w:r>
          </w:p>
        </w:tc>
      </w:tr>
      <w:tr w:rsidR="00520587" w:rsidRPr="00520587" w14:paraId="3B61DAD9" w14:textId="77777777" w:rsidTr="00083090">
        <w:trPr>
          <w:cnfStyle w:val="000000100000" w:firstRow="0" w:lastRow="0" w:firstColumn="0" w:lastColumn="0" w:oddVBand="0" w:evenVBand="0" w:oddHBand="1" w:evenHBand="0" w:firstRowFirstColumn="0" w:firstRowLastColumn="0" w:lastRowFirstColumn="0" w:lastRowLastColumn="0"/>
          <w:trHeight w:val="647"/>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4436DE25" w14:textId="109117DC" w:rsidR="00492451" w:rsidRPr="00520587" w:rsidRDefault="00492451" w:rsidP="0063315B">
            <w:pPr>
              <w:jc w:val="center"/>
              <w:rPr>
                <w:rFonts w:ascii="Garamond" w:hAnsi="Garamond"/>
                <w:b w:val="0"/>
                <w:bCs w:val="0"/>
                <w:sz w:val="18"/>
                <w:szCs w:val="18"/>
              </w:rPr>
            </w:pPr>
            <w:r w:rsidRPr="00520587">
              <w:rPr>
                <w:rFonts w:ascii="Garamond" w:hAnsi="Garamond"/>
                <w:b w:val="0"/>
                <w:bCs w:val="0"/>
                <w:sz w:val="18"/>
                <w:szCs w:val="18"/>
              </w:rPr>
              <w:t xml:space="preserve">Does the Competition Authority have powers to conduct dawn raids at premises? </w:t>
            </w:r>
          </w:p>
        </w:tc>
        <w:tc>
          <w:tcPr>
            <w:tcW w:w="1429" w:type="dxa"/>
            <w:vMerge w:val="restart"/>
            <w:tcBorders>
              <w:right w:val="single" w:sz="4" w:space="0" w:color="auto"/>
            </w:tcBorders>
            <w:vAlign w:val="center"/>
          </w:tcPr>
          <w:p w14:paraId="07F51493" w14:textId="7145FAC8" w:rsidR="00492451" w:rsidRPr="00520587" w:rsidRDefault="00492451"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Silent</w:t>
            </w:r>
          </w:p>
        </w:tc>
        <w:tc>
          <w:tcPr>
            <w:tcW w:w="4151" w:type="dxa"/>
            <w:gridSpan w:val="4"/>
            <w:tcBorders>
              <w:left w:val="single" w:sz="4" w:space="0" w:color="auto"/>
              <w:bottom w:val="single" w:sz="4" w:space="0" w:color="auto"/>
            </w:tcBorders>
            <w:vAlign w:val="center"/>
          </w:tcPr>
          <w:p w14:paraId="60230ACA" w14:textId="09D65D6C" w:rsidR="00492451" w:rsidRPr="00520587" w:rsidRDefault="00083090"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[If the answer is “yes”, please mention whether the dawn raids shall be authorized by a judge, and mention the relevant provisions]</w:t>
            </w:r>
          </w:p>
        </w:tc>
      </w:tr>
      <w:tr w:rsidR="00520587" w:rsidRPr="00520587" w14:paraId="761E956D" w14:textId="77777777" w:rsidTr="00083090">
        <w:trPr>
          <w:trHeight w:val="491"/>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60AB0F55" w14:textId="77777777" w:rsidR="00492451" w:rsidRPr="00520587" w:rsidRDefault="00492451"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1D7816AF" w14:textId="77777777" w:rsidR="00492451" w:rsidRPr="00520587" w:rsidRDefault="00492451"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bottom w:val="single" w:sz="4" w:space="0" w:color="auto"/>
            </w:tcBorders>
            <w:vAlign w:val="center"/>
          </w:tcPr>
          <w:p w14:paraId="230AF325" w14:textId="77777777" w:rsidR="00492451" w:rsidRPr="00520587" w:rsidRDefault="00492451"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No express or clear provision in this regard. Moreover, there is no case law on this point as well.</w:t>
            </w:r>
          </w:p>
        </w:tc>
      </w:tr>
      <w:tr w:rsidR="00520587" w:rsidRPr="00520587" w14:paraId="0CB5F1DF" w14:textId="77777777" w:rsidTr="00083090">
        <w:trPr>
          <w:cnfStyle w:val="000000100000" w:firstRow="0" w:lastRow="0" w:firstColumn="0" w:lastColumn="0" w:oddVBand="0" w:evenVBand="0" w:oddHBand="1" w:evenHBand="0" w:firstRowFirstColumn="0" w:firstRowLastColumn="0" w:lastRowFirstColumn="0" w:lastRowLastColumn="0"/>
          <w:trHeight w:val="386"/>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184F56DD" w14:textId="7237C9BA" w:rsidR="00083090" w:rsidRPr="00520587" w:rsidRDefault="00083090" w:rsidP="0063315B">
            <w:pPr>
              <w:jc w:val="center"/>
              <w:rPr>
                <w:rFonts w:ascii="Garamond" w:hAnsi="Garamond"/>
                <w:b w:val="0"/>
                <w:bCs w:val="0"/>
                <w:sz w:val="18"/>
                <w:szCs w:val="18"/>
              </w:rPr>
            </w:pPr>
            <w:r w:rsidRPr="00520587">
              <w:rPr>
                <w:rFonts w:ascii="Garamond" w:hAnsi="Garamond"/>
                <w:b w:val="0"/>
                <w:bCs w:val="0"/>
                <w:sz w:val="18"/>
                <w:szCs w:val="18"/>
              </w:rPr>
              <w:t>Can the Competition Authority investigate ex officio cases?</w:t>
            </w:r>
          </w:p>
        </w:tc>
        <w:tc>
          <w:tcPr>
            <w:tcW w:w="1429" w:type="dxa"/>
            <w:vMerge w:val="restart"/>
            <w:tcBorders>
              <w:right w:val="single" w:sz="4" w:space="0" w:color="auto"/>
            </w:tcBorders>
            <w:vAlign w:val="center"/>
          </w:tcPr>
          <w:p w14:paraId="36C42724" w14:textId="0B5665A4" w:rsidR="00083090" w:rsidRPr="00520587" w:rsidRDefault="00083090"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Silent</w:t>
            </w:r>
          </w:p>
        </w:tc>
        <w:tc>
          <w:tcPr>
            <w:tcW w:w="4151" w:type="dxa"/>
            <w:gridSpan w:val="4"/>
            <w:tcBorders>
              <w:top w:val="single" w:sz="4" w:space="0" w:color="auto"/>
              <w:left w:val="single" w:sz="4" w:space="0" w:color="auto"/>
              <w:bottom w:val="single" w:sz="4" w:space="0" w:color="auto"/>
            </w:tcBorders>
            <w:vAlign w:val="center"/>
          </w:tcPr>
          <w:p w14:paraId="1E1E552A" w14:textId="15673A4F" w:rsidR="00083090" w:rsidRPr="00520587" w:rsidRDefault="00083090"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[Please, mention the relevant provisions]</w:t>
            </w:r>
          </w:p>
        </w:tc>
      </w:tr>
      <w:tr w:rsidR="00520587" w:rsidRPr="00520587" w14:paraId="644EF5DD" w14:textId="77777777" w:rsidTr="00083090">
        <w:trPr>
          <w:trHeight w:val="530"/>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23D80D9B" w14:textId="77777777" w:rsidR="00083090" w:rsidRPr="00520587" w:rsidRDefault="00083090"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328ECA4D" w14:textId="77777777" w:rsidR="00083090" w:rsidRPr="00520587" w:rsidRDefault="00083090"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2AF3C164" w14:textId="77777777" w:rsidR="00083090" w:rsidRPr="00520587" w:rsidRDefault="00083090"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No express or clear provision in this regard. Moreover, there is no case law on this point as well.</w:t>
            </w:r>
          </w:p>
        </w:tc>
      </w:tr>
      <w:tr w:rsidR="00520587" w:rsidRPr="00520587" w14:paraId="7DC31BEB" w14:textId="77777777" w:rsidTr="00083090">
        <w:trPr>
          <w:cnfStyle w:val="000000100000" w:firstRow="0" w:lastRow="0" w:firstColumn="0" w:lastColumn="0" w:oddVBand="0" w:evenVBand="0" w:oddHBand="1" w:evenHBand="0" w:firstRowFirstColumn="0" w:firstRowLastColumn="0" w:lastRowFirstColumn="0" w:lastRowLastColumn="0"/>
          <w:trHeight w:val="827"/>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676032A0" w14:textId="04EDCC3C" w:rsidR="00492451" w:rsidRPr="00520587" w:rsidRDefault="00492451" w:rsidP="0063315B">
            <w:pPr>
              <w:jc w:val="center"/>
              <w:rPr>
                <w:rFonts w:ascii="Garamond" w:hAnsi="Garamond"/>
                <w:b w:val="0"/>
                <w:bCs w:val="0"/>
                <w:sz w:val="18"/>
                <w:szCs w:val="18"/>
              </w:rPr>
            </w:pPr>
            <w:r w:rsidRPr="00520587">
              <w:rPr>
                <w:rFonts w:ascii="Garamond" w:hAnsi="Garamond"/>
                <w:b w:val="0"/>
                <w:bCs w:val="0"/>
                <w:sz w:val="18"/>
                <w:szCs w:val="18"/>
              </w:rPr>
              <w:t>Does the Competition Authority have powers to accept leniency application?</w:t>
            </w:r>
          </w:p>
        </w:tc>
        <w:tc>
          <w:tcPr>
            <w:tcW w:w="1429" w:type="dxa"/>
            <w:vMerge w:val="restart"/>
            <w:tcBorders>
              <w:right w:val="single" w:sz="4" w:space="0" w:color="auto"/>
            </w:tcBorders>
            <w:vAlign w:val="center"/>
          </w:tcPr>
          <w:p w14:paraId="70832527" w14:textId="77777777" w:rsidR="00492451" w:rsidRPr="00520587" w:rsidRDefault="00492451"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tc>
        <w:tc>
          <w:tcPr>
            <w:tcW w:w="4151" w:type="dxa"/>
            <w:gridSpan w:val="4"/>
            <w:tcBorders>
              <w:left w:val="single" w:sz="4" w:space="0" w:color="auto"/>
              <w:bottom w:val="single" w:sz="4" w:space="0" w:color="auto"/>
            </w:tcBorders>
            <w:vAlign w:val="center"/>
          </w:tcPr>
          <w:p w14:paraId="723531C4" w14:textId="6E00E803" w:rsidR="00492451" w:rsidRPr="00520587" w:rsidRDefault="00083090" w:rsidP="00083090">
            <w:pPr>
              <w:pBdr>
                <w:top w:val="nil"/>
                <w:left w:val="nil"/>
                <w:bottom w:val="nil"/>
                <w:right w:val="nil"/>
                <w:between w:val="nil"/>
              </w:pBdr>
              <w:cnfStyle w:val="000000100000" w:firstRow="0" w:lastRow="0" w:firstColumn="0" w:lastColumn="0" w:oddVBand="0" w:evenVBand="0" w:oddHBand="1" w:evenHBand="0" w:firstRowFirstColumn="0" w:firstRowLastColumn="0" w:lastRowFirstColumn="0" w:lastRowLastColumn="0"/>
              <w:rPr>
                <w:rFonts w:ascii="Garamond" w:hAnsi="Garamond"/>
                <w:i/>
                <w:sz w:val="17"/>
                <w:szCs w:val="17"/>
              </w:rPr>
            </w:pPr>
            <w:r w:rsidRPr="00520587">
              <w:rPr>
                <w:rFonts w:ascii="Garamond" w:hAnsi="Garamond"/>
                <w:i/>
                <w:sz w:val="17"/>
                <w:szCs w:val="17"/>
              </w:rPr>
              <w:t>[If the answer is “yes”, please mention if there is any limitation for the applicants, what are the benefits, and mention the relevant provisions. Include any commentary that you consider relevant about the leniency program]</w:t>
            </w:r>
          </w:p>
        </w:tc>
      </w:tr>
      <w:tr w:rsidR="00520587" w:rsidRPr="00520587" w14:paraId="2722B9FB" w14:textId="77777777" w:rsidTr="00492451">
        <w:trPr>
          <w:trHeight w:val="502"/>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15A203FD" w14:textId="77777777" w:rsidR="00492451" w:rsidRPr="00520587" w:rsidRDefault="00492451"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037FB165" w14:textId="77777777" w:rsidR="00492451" w:rsidRPr="00520587" w:rsidRDefault="00492451"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54C510CF" w14:textId="77777777" w:rsidR="00492451" w:rsidRPr="00520587" w:rsidRDefault="00492451"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No express or clear provision in this regard. Moreover, there is no case law on this point as well.</w:t>
            </w:r>
          </w:p>
        </w:tc>
      </w:tr>
      <w:tr w:rsidR="00520587" w:rsidRPr="00520587" w14:paraId="39CC6E2A" w14:textId="77777777" w:rsidTr="009372B3">
        <w:trPr>
          <w:cnfStyle w:val="000000100000" w:firstRow="0" w:lastRow="0" w:firstColumn="0" w:lastColumn="0" w:oddVBand="0" w:evenVBand="0" w:oddHBand="1" w:evenHBand="0" w:firstRowFirstColumn="0" w:firstRowLastColumn="0" w:lastRowFirstColumn="0" w:lastRowLastColumn="0"/>
          <w:trHeight w:val="360"/>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63B075A" w14:textId="2AE7AC7C" w:rsidR="00083090" w:rsidRPr="00520587" w:rsidRDefault="00083090" w:rsidP="00083090">
            <w:pPr>
              <w:jc w:val="center"/>
              <w:rPr>
                <w:rFonts w:ascii="Garamond" w:hAnsi="Garamond"/>
                <w:b w:val="0"/>
                <w:bCs w:val="0"/>
                <w:sz w:val="18"/>
                <w:szCs w:val="18"/>
              </w:rPr>
            </w:pPr>
            <w:r w:rsidRPr="00520587">
              <w:rPr>
                <w:rFonts w:ascii="Garamond" w:hAnsi="Garamond"/>
                <w:b w:val="0"/>
                <w:bCs w:val="0"/>
                <w:sz w:val="18"/>
                <w:szCs w:val="18"/>
              </w:rPr>
              <w:t>Does the Competition Authority have powers to impose criminal punishment?</w:t>
            </w:r>
          </w:p>
        </w:tc>
        <w:tc>
          <w:tcPr>
            <w:tcW w:w="1429" w:type="dxa"/>
            <w:tcBorders>
              <w:right w:val="single" w:sz="4" w:space="0" w:color="auto"/>
            </w:tcBorders>
            <w:vAlign w:val="center"/>
          </w:tcPr>
          <w:p w14:paraId="2195B062" w14:textId="11BA69CA" w:rsidR="00083090" w:rsidRPr="00520587" w:rsidRDefault="00083090" w:rsidP="00520587">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No</w:t>
            </w:r>
          </w:p>
        </w:tc>
        <w:tc>
          <w:tcPr>
            <w:tcW w:w="4151" w:type="dxa"/>
            <w:gridSpan w:val="4"/>
            <w:tcBorders>
              <w:left w:val="single" w:sz="4" w:space="0" w:color="auto"/>
              <w:bottom w:val="single" w:sz="4" w:space="0" w:color="auto"/>
            </w:tcBorders>
            <w:vAlign w:val="center"/>
          </w:tcPr>
          <w:p w14:paraId="069C6B48" w14:textId="722DCD16" w:rsidR="00955AEA" w:rsidRPr="00520587" w:rsidRDefault="00955AEA" w:rsidP="00520587">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w:t>
            </w:r>
            <w:r w:rsidR="00520587" w:rsidRPr="00520587">
              <w:rPr>
                <w:rFonts w:ascii="Garamond" w:hAnsi="Garamond"/>
                <w:sz w:val="18"/>
                <w:szCs w:val="18"/>
              </w:rPr>
              <w:t>I</w:t>
            </w:r>
            <w:r w:rsidRPr="00520587">
              <w:rPr>
                <w:rFonts w:ascii="Garamond" w:hAnsi="Garamond"/>
                <w:sz w:val="18"/>
                <w:szCs w:val="18"/>
              </w:rPr>
              <w:t xml:space="preserve">f the answer is “yes”, please </w:t>
            </w:r>
            <w:proofErr w:type="gramStart"/>
            <w:r w:rsidRPr="00520587">
              <w:rPr>
                <w:rFonts w:ascii="Garamond" w:hAnsi="Garamond"/>
                <w:sz w:val="18"/>
                <w:szCs w:val="18"/>
              </w:rPr>
              <w:t>mention</w:t>
            </w:r>
            <w:proofErr w:type="gramEnd"/>
            <w:r w:rsidRPr="00520587">
              <w:rPr>
                <w:rFonts w:ascii="Garamond" w:hAnsi="Garamond"/>
                <w:sz w:val="18"/>
                <w:szCs w:val="18"/>
              </w:rPr>
              <w:t xml:space="preserve"> the different kinds of sanctions that the agency can impose] </w:t>
            </w:r>
          </w:p>
        </w:tc>
      </w:tr>
      <w:tr w:rsidR="00520587" w:rsidRPr="00520587" w14:paraId="2FB1FBA6" w14:textId="77777777" w:rsidTr="00955AEA">
        <w:trPr>
          <w:trHeight w:val="305"/>
        </w:trPr>
        <w:tc>
          <w:tcPr>
            <w:cnfStyle w:val="001000000000" w:firstRow="0" w:lastRow="0" w:firstColumn="1" w:lastColumn="0" w:oddVBand="0" w:evenVBand="0" w:oddHBand="0" w:evenHBand="0" w:firstRowFirstColumn="0" w:firstRowLastColumn="0" w:lastRowFirstColumn="0" w:lastRowLastColumn="0"/>
            <w:tcW w:w="9355" w:type="dxa"/>
            <w:gridSpan w:val="6"/>
            <w:vAlign w:val="center"/>
          </w:tcPr>
          <w:p w14:paraId="6259F251" w14:textId="1952FEDD" w:rsidR="00955AEA" w:rsidRPr="00520587" w:rsidRDefault="00955AEA" w:rsidP="00955AEA">
            <w:pPr>
              <w:jc w:val="left"/>
              <w:rPr>
                <w:rFonts w:ascii="Garamond" w:hAnsi="Garamond"/>
                <w:sz w:val="18"/>
                <w:szCs w:val="18"/>
              </w:rPr>
            </w:pPr>
            <w:r w:rsidRPr="00520587">
              <w:rPr>
                <w:rFonts w:ascii="Garamond" w:hAnsi="Garamond"/>
                <w:sz w:val="18"/>
                <w:szCs w:val="18"/>
              </w:rPr>
              <w:t>Advocacy</w:t>
            </w:r>
          </w:p>
        </w:tc>
      </w:tr>
      <w:tr w:rsidR="00520587" w:rsidRPr="00520587" w14:paraId="708DDD11" w14:textId="77777777" w:rsidTr="00AE753C">
        <w:trPr>
          <w:cnfStyle w:val="000000100000" w:firstRow="0" w:lastRow="0" w:firstColumn="0" w:lastColumn="0" w:oddVBand="0" w:evenVBand="0" w:oddHBand="1" w:evenHBand="0" w:firstRowFirstColumn="0" w:firstRowLastColumn="0" w:lastRowFirstColumn="0" w:lastRowLastColumn="0"/>
          <w:trHeight w:val="404"/>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1A034D95" w14:textId="4169F68F" w:rsidR="00AE753C" w:rsidRPr="00520587" w:rsidRDefault="00AE753C" w:rsidP="0063315B">
            <w:pPr>
              <w:jc w:val="center"/>
              <w:rPr>
                <w:rFonts w:ascii="Garamond" w:hAnsi="Garamond"/>
                <w:b w:val="0"/>
                <w:bCs w:val="0"/>
                <w:sz w:val="18"/>
                <w:szCs w:val="18"/>
              </w:rPr>
            </w:pPr>
            <w:r w:rsidRPr="00520587">
              <w:rPr>
                <w:rFonts w:ascii="Garamond" w:hAnsi="Garamond"/>
                <w:b w:val="0"/>
                <w:bCs w:val="0"/>
                <w:sz w:val="18"/>
                <w:szCs w:val="18"/>
              </w:rPr>
              <w:t xml:space="preserve">Can the Competition Authority issue opinions on draft legislation? </w:t>
            </w:r>
          </w:p>
        </w:tc>
        <w:tc>
          <w:tcPr>
            <w:tcW w:w="1429" w:type="dxa"/>
            <w:vMerge w:val="restart"/>
            <w:tcBorders>
              <w:right w:val="single" w:sz="4" w:space="0" w:color="auto"/>
            </w:tcBorders>
            <w:vAlign w:val="center"/>
          </w:tcPr>
          <w:p w14:paraId="0BC41583" w14:textId="5D404B82" w:rsidR="00AE753C" w:rsidRPr="00520587" w:rsidRDefault="00AE753C"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4151" w:type="dxa"/>
            <w:gridSpan w:val="4"/>
            <w:tcBorders>
              <w:left w:val="single" w:sz="4" w:space="0" w:color="auto"/>
              <w:bottom w:val="single" w:sz="4" w:space="0" w:color="auto"/>
            </w:tcBorders>
            <w:vAlign w:val="center"/>
          </w:tcPr>
          <w:p w14:paraId="7C7A07E5" w14:textId="3C88CF34" w:rsidR="00AE753C" w:rsidRPr="00520587" w:rsidRDefault="00AE753C" w:rsidP="00AE753C">
            <w:pPr>
              <w:spacing w:after="80"/>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6"/>
                <w:szCs w:val="16"/>
              </w:rPr>
              <w:t xml:space="preserve">[If the answer is yes, please </w:t>
            </w:r>
            <w:proofErr w:type="gramStart"/>
            <w:r w:rsidRPr="00520587">
              <w:rPr>
                <w:rFonts w:ascii="Garamond" w:hAnsi="Garamond"/>
                <w:i/>
                <w:sz w:val="16"/>
                <w:szCs w:val="16"/>
              </w:rPr>
              <w:t>specify</w:t>
            </w:r>
            <w:proofErr w:type="gramEnd"/>
            <w:r w:rsidRPr="00520587">
              <w:rPr>
                <w:rFonts w:ascii="Garamond" w:hAnsi="Garamond"/>
                <w:i/>
                <w:sz w:val="16"/>
                <w:szCs w:val="16"/>
              </w:rPr>
              <w:t xml:space="preserve"> if there is any kind of limitation to the agency’s authority to issue opinions, include relevant provisions]</w:t>
            </w:r>
            <w:r w:rsidRPr="00520587">
              <w:rPr>
                <w:rFonts w:ascii="Garamond" w:hAnsi="Garamond"/>
                <w:i/>
                <w:sz w:val="18"/>
                <w:szCs w:val="18"/>
              </w:rPr>
              <w:tab/>
            </w:r>
          </w:p>
        </w:tc>
      </w:tr>
      <w:tr w:rsidR="00520587" w:rsidRPr="00520587" w14:paraId="70FC7F34" w14:textId="77777777" w:rsidTr="00AE753C">
        <w:trPr>
          <w:trHeight w:val="1407"/>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75939642" w14:textId="77777777" w:rsidR="00AE753C" w:rsidRPr="00520587" w:rsidRDefault="00AE753C"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39F84BED" w14:textId="77777777" w:rsidR="00AE753C" w:rsidRPr="00520587" w:rsidRDefault="00AE753C"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575DA71B" w14:textId="4B084039" w:rsidR="00AE753C" w:rsidRPr="00520587" w:rsidRDefault="00AE753C" w:rsidP="00AE753C">
            <w:pPr>
              <w:spacing w:after="80"/>
              <w:cnfStyle w:val="000000000000" w:firstRow="0" w:lastRow="0" w:firstColumn="0" w:lastColumn="0" w:oddVBand="0" w:evenVBand="0" w:oddHBand="0" w:evenHBand="0" w:firstRowFirstColumn="0" w:firstRowLastColumn="0" w:lastRowFirstColumn="0" w:lastRowLastColumn="0"/>
              <w:rPr>
                <w:rStyle w:val="hgkelc"/>
                <w:rFonts w:ascii="Garamond" w:hAnsi="Garamond"/>
                <w:sz w:val="18"/>
                <w:szCs w:val="18"/>
                <w:lang w:val="en"/>
              </w:rPr>
            </w:pPr>
            <w:r w:rsidRPr="00520587">
              <w:rPr>
                <w:rFonts w:ascii="Garamond" w:hAnsi="Garamond"/>
                <w:sz w:val="18"/>
                <w:szCs w:val="18"/>
              </w:rPr>
              <w:tab/>
              <w:t xml:space="preserve">The Commission has the power to make rules, policy, instructions of notifications or administrative directions relating to competition, and to give advice and to assist the Government for implementation thereof. See </w:t>
            </w:r>
            <w:r w:rsidRPr="00520587">
              <w:rPr>
                <w:rStyle w:val="hgkelc"/>
                <w:rFonts w:ascii="Garamond" w:hAnsi="Garamond"/>
                <w:sz w:val="18"/>
                <w:szCs w:val="18"/>
                <w:lang w:val="en"/>
              </w:rPr>
              <w:t>§8(e) of the Competition Act, 2012.</w:t>
            </w:r>
          </w:p>
          <w:p w14:paraId="269A54E0" w14:textId="3EE0A434" w:rsidR="00AE753C" w:rsidRPr="00520587" w:rsidRDefault="00AE753C" w:rsidP="00AE753C">
            <w:pPr>
              <w:spacing w:after="8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Style w:val="hgkelc"/>
                <w:rFonts w:ascii="Garamond" w:hAnsi="Garamond"/>
                <w:sz w:val="18"/>
                <w:szCs w:val="18"/>
                <w:lang w:val="en"/>
              </w:rPr>
              <w:tab/>
              <w:t>Moreover, it has the power to give recommendations to the Government for their effective implementation. Id. §8(h).</w:t>
            </w:r>
          </w:p>
          <w:p w14:paraId="058596F2" w14:textId="77777777" w:rsidR="00AE753C" w:rsidRPr="00520587" w:rsidRDefault="00AE753C" w:rsidP="00955AEA">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ab/>
              <w:t xml:space="preserve">Thus, the above-mentioned powers of the Commission can be interpreted to include the power to </w:t>
            </w:r>
            <w:r w:rsidRPr="00520587">
              <w:rPr>
                <w:rFonts w:ascii="Garamond" w:hAnsi="Garamond"/>
                <w:sz w:val="18"/>
                <w:szCs w:val="18"/>
              </w:rPr>
              <w:lastRenderedPageBreak/>
              <w:t>render opinion on a draft legislation on competition or any aspect of competition.</w:t>
            </w:r>
          </w:p>
        </w:tc>
      </w:tr>
      <w:tr w:rsidR="00520587" w:rsidRPr="00520587" w14:paraId="5713DCBC" w14:textId="77777777" w:rsidTr="005B72C3">
        <w:trPr>
          <w:cnfStyle w:val="000000100000" w:firstRow="0" w:lastRow="0" w:firstColumn="0" w:lastColumn="0" w:oddVBand="0" w:evenVBand="0" w:oddHBand="1" w:evenHBand="0" w:firstRowFirstColumn="0" w:firstRowLastColumn="0" w:lastRowFirstColumn="0" w:lastRowLastColumn="0"/>
          <w:trHeight w:val="881"/>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7E09881D" w14:textId="60C1E013" w:rsidR="00955AEA" w:rsidRPr="00520587" w:rsidRDefault="00AE753C" w:rsidP="0063315B">
            <w:pPr>
              <w:jc w:val="center"/>
              <w:rPr>
                <w:rFonts w:ascii="Garamond" w:hAnsi="Garamond"/>
                <w:b w:val="0"/>
                <w:bCs w:val="0"/>
                <w:sz w:val="18"/>
                <w:szCs w:val="18"/>
              </w:rPr>
            </w:pPr>
            <w:r w:rsidRPr="00520587">
              <w:rPr>
                <w:rFonts w:ascii="Garamond" w:hAnsi="Garamond"/>
                <w:b w:val="0"/>
                <w:bCs w:val="0"/>
                <w:sz w:val="18"/>
                <w:szCs w:val="18"/>
              </w:rPr>
              <w:lastRenderedPageBreak/>
              <w:t>Is the executive and/ or the legislature obliged to request the opinion of the Competition Authority when drafting legislation that may impact competition?</w:t>
            </w:r>
          </w:p>
        </w:tc>
        <w:tc>
          <w:tcPr>
            <w:tcW w:w="1429" w:type="dxa"/>
            <w:tcBorders>
              <w:right w:val="single" w:sz="4" w:space="0" w:color="auto"/>
            </w:tcBorders>
            <w:vAlign w:val="center"/>
          </w:tcPr>
          <w:p w14:paraId="4EB7C72E" w14:textId="00D5FE32" w:rsidR="00955AEA" w:rsidRPr="00520587" w:rsidRDefault="00AE753C"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No</w:t>
            </w:r>
          </w:p>
        </w:tc>
        <w:tc>
          <w:tcPr>
            <w:tcW w:w="4151" w:type="dxa"/>
            <w:gridSpan w:val="4"/>
            <w:tcBorders>
              <w:left w:val="single" w:sz="4" w:space="0" w:color="auto"/>
            </w:tcBorders>
            <w:vAlign w:val="center"/>
          </w:tcPr>
          <w:p w14:paraId="7B611948" w14:textId="73EDECD6" w:rsidR="00955AEA" w:rsidRPr="00520587" w:rsidRDefault="005D3F35"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[if the answer is yes, include relevant provisions]</w:t>
            </w:r>
          </w:p>
        </w:tc>
      </w:tr>
      <w:tr w:rsidR="00520587" w:rsidRPr="00520587" w14:paraId="475A3FA5" w14:textId="77777777" w:rsidTr="00841E14">
        <w:trPr>
          <w:trHeight w:val="260"/>
        </w:trPr>
        <w:tc>
          <w:tcPr>
            <w:cnfStyle w:val="001000000000" w:firstRow="0" w:lastRow="0" w:firstColumn="1" w:lastColumn="0" w:oddVBand="0" w:evenVBand="0" w:oddHBand="0" w:evenHBand="0" w:firstRowFirstColumn="0" w:firstRowLastColumn="0" w:lastRowFirstColumn="0" w:lastRowLastColumn="0"/>
            <w:tcW w:w="9355" w:type="dxa"/>
            <w:gridSpan w:val="6"/>
            <w:vAlign w:val="center"/>
          </w:tcPr>
          <w:p w14:paraId="593452D3" w14:textId="6EB88BCA" w:rsidR="00841E14" w:rsidRPr="00520587" w:rsidRDefault="00841E14" w:rsidP="0063315B">
            <w:pPr>
              <w:rPr>
                <w:rFonts w:ascii="Garamond" w:hAnsi="Garamond"/>
                <w:sz w:val="18"/>
                <w:szCs w:val="18"/>
              </w:rPr>
            </w:pPr>
            <w:r w:rsidRPr="00520587">
              <w:rPr>
                <w:rFonts w:ascii="Garamond" w:hAnsi="Garamond"/>
                <w:sz w:val="18"/>
                <w:szCs w:val="18"/>
              </w:rPr>
              <w:t>Rulemaking</w:t>
            </w:r>
          </w:p>
        </w:tc>
      </w:tr>
      <w:tr w:rsidR="00520587" w:rsidRPr="00520587" w14:paraId="112853CE" w14:textId="5110277E" w:rsidTr="00841E14">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156834A4" w14:textId="1C90E76A" w:rsidR="00841E14" w:rsidRPr="00520587" w:rsidRDefault="00841E14" w:rsidP="0063315B">
            <w:pPr>
              <w:jc w:val="center"/>
              <w:rPr>
                <w:rFonts w:ascii="Garamond" w:hAnsi="Garamond"/>
                <w:b w:val="0"/>
                <w:bCs w:val="0"/>
                <w:sz w:val="18"/>
                <w:szCs w:val="18"/>
              </w:rPr>
            </w:pPr>
            <w:r w:rsidRPr="00520587">
              <w:rPr>
                <w:rFonts w:ascii="Garamond" w:hAnsi="Garamond"/>
                <w:b w:val="0"/>
                <w:bCs w:val="0"/>
                <w:sz w:val="18"/>
                <w:szCs w:val="18"/>
              </w:rPr>
              <w:t>Can the Competition issue guidelines?</w:t>
            </w:r>
          </w:p>
        </w:tc>
        <w:tc>
          <w:tcPr>
            <w:tcW w:w="1429" w:type="dxa"/>
            <w:vMerge w:val="restart"/>
            <w:tcBorders>
              <w:right w:val="single" w:sz="4" w:space="0" w:color="auto"/>
            </w:tcBorders>
            <w:vAlign w:val="center"/>
          </w:tcPr>
          <w:p w14:paraId="59B8238F" w14:textId="4053F9D2" w:rsidR="00841E14" w:rsidRPr="00520587" w:rsidRDefault="0050195D"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Binding</w:t>
            </w:r>
          </w:p>
        </w:tc>
        <w:tc>
          <w:tcPr>
            <w:tcW w:w="551" w:type="dxa"/>
            <w:gridSpan w:val="2"/>
            <w:tcBorders>
              <w:left w:val="single" w:sz="4" w:space="0" w:color="auto"/>
              <w:bottom w:val="single" w:sz="4" w:space="0" w:color="auto"/>
            </w:tcBorders>
            <w:vAlign w:val="center"/>
          </w:tcPr>
          <w:p w14:paraId="083916B2" w14:textId="293FEFD7" w:rsidR="00841E14" w:rsidRPr="00520587" w:rsidRDefault="00190CAD" w:rsidP="00190CAD">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b/>
                <w:bCs/>
                <w:sz w:val="14"/>
                <w:szCs w:val="14"/>
              </w:rPr>
              <w:t>X</w:t>
            </w:r>
          </w:p>
        </w:tc>
        <w:tc>
          <w:tcPr>
            <w:tcW w:w="3600" w:type="dxa"/>
            <w:gridSpan w:val="2"/>
            <w:tcBorders>
              <w:left w:val="single" w:sz="4" w:space="0" w:color="auto"/>
              <w:bottom w:val="single" w:sz="4" w:space="0" w:color="auto"/>
            </w:tcBorders>
            <w:vAlign w:val="center"/>
          </w:tcPr>
          <w:p w14:paraId="73C7E7F5" w14:textId="6C24A1C7" w:rsidR="00190CAD" w:rsidRPr="00520587" w:rsidRDefault="00841E14" w:rsidP="0063315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Guidelines on the calculation of fines.</w:t>
            </w:r>
          </w:p>
        </w:tc>
      </w:tr>
      <w:tr w:rsidR="00520587" w:rsidRPr="00520587" w14:paraId="76818E0A" w14:textId="0DAE74BF" w:rsidTr="00841E14">
        <w:trPr>
          <w:trHeight w:val="341"/>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30C04936" w14:textId="77777777" w:rsidR="00841E14" w:rsidRPr="00520587" w:rsidRDefault="00841E14"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5BC5672B" w14:textId="77777777" w:rsidR="00841E14" w:rsidRPr="00520587" w:rsidRDefault="00841E14"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551" w:type="dxa"/>
            <w:gridSpan w:val="2"/>
            <w:tcBorders>
              <w:top w:val="single" w:sz="4" w:space="0" w:color="auto"/>
              <w:left w:val="single" w:sz="4" w:space="0" w:color="auto"/>
              <w:bottom w:val="single" w:sz="4" w:space="0" w:color="auto"/>
            </w:tcBorders>
            <w:vAlign w:val="center"/>
          </w:tcPr>
          <w:p w14:paraId="3F13D28F" w14:textId="2D0C4243" w:rsidR="00841E14" w:rsidRPr="00520587" w:rsidRDefault="00190CAD" w:rsidP="00190CAD">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eastAsia="Gungsuh" w:hAnsi="Garamond"/>
                <w:b/>
                <w:bCs/>
                <w:sz w:val="18"/>
                <w:szCs w:val="18"/>
              </w:rPr>
              <w:t>√</w:t>
            </w:r>
          </w:p>
        </w:tc>
        <w:tc>
          <w:tcPr>
            <w:tcW w:w="3600" w:type="dxa"/>
            <w:gridSpan w:val="2"/>
            <w:tcBorders>
              <w:top w:val="single" w:sz="4" w:space="0" w:color="auto"/>
              <w:left w:val="single" w:sz="4" w:space="0" w:color="auto"/>
              <w:bottom w:val="single" w:sz="4" w:space="0" w:color="auto"/>
            </w:tcBorders>
            <w:vAlign w:val="center"/>
          </w:tcPr>
          <w:p w14:paraId="78C1803A" w14:textId="3D889EE5" w:rsidR="00841E14" w:rsidRPr="00520587" w:rsidRDefault="00190CAD"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Guidelines</w:t>
            </w:r>
            <w:r w:rsidR="00841E14" w:rsidRPr="00520587">
              <w:rPr>
                <w:rFonts w:ascii="Garamond" w:hAnsi="Garamond"/>
                <w:sz w:val="18"/>
                <w:szCs w:val="18"/>
              </w:rPr>
              <w:t xml:space="preserve"> on merger control. </w:t>
            </w:r>
          </w:p>
        </w:tc>
      </w:tr>
      <w:tr w:rsidR="00520587" w:rsidRPr="00520587" w14:paraId="7CE17F4A" w14:textId="0032471D" w:rsidTr="00841E14">
        <w:trPr>
          <w:cnfStyle w:val="000000100000" w:firstRow="0" w:lastRow="0" w:firstColumn="0" w:lastColumn="0" w:oddVBand="0" w:evenVBand="0" w:oddHBand="1" w:evenHBand="0" w:firstRowFirstColumn="0" w:firstRowLastColumn="0" w:lastRowFirstColumn="0" w:lastRowLastColumn="0"/>
          <w:trHeight w:val="467"/>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26EA084D" w14:textId="77777777" w:rsidR="00841E14" w:rsidRPr="00520587" w:rsidRDefault="00841E14"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7B4D2C43" w14:textId="77777777" w:rsidR="00841E14" w:rsidRPr="00520587" w:rsidRDefault="00841E14"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tc>
        <w:tc>
          <w:tcPr>
            <w:tcW w:w="551" w:type="dxa"/>
            <w:gridSpan w:val="2"/>
            <w:tcBorders>
              <w:top w:val="single" w:sz="4" w:space="0" w:color="auto"/>
              <w:left w:val="single" w:sz="4" w:space="0" w:color="auto"/>
            </w:tcBorders>
            <w:vAlign w:val="center"/>
          </w:tcPr>
          <w:p w14:paraId="5AA812AE" w14:textId="670C2700" w:rsidR="00841E14" w:rsidRPr="00520587" w:rsidRDefault="00190CAD" w:rsidP="00190CAD">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eastAsia="Gungsuh" w:hAnsi="Garamond"/>
                <w:b/>
                <w:bCs/>
                <w:sz w:val="18"/>
                <w:szCs w:val="18"/>
              </w:rPr>
              <w:t>√</w:t>
            </w:r>
          </w:p>
        </w:tc>
        <w:tc>
          <w:tcPr>
            <w:tcW w:w="3600" w:type="dxa"/>
            <w:gridSpan w:val="2"/>
            <w:tcBorders>
              <w:top w:val="single" w:sz="4" w:space="0" w:color="auto"/>
              <w:left w:val="single" w:sz="4" w:space="0" w:color="auto"/>
            </w:tcBorders>
            <w:vAlign w:val="center"/>
          </w:tcPr>
          <w:p w14:paraId="23DEDE81" w14:textId="79229CA7" w:rsidR="00841E14" w:rsidRPr="00520587" w:rsidRDefault="00841E14" w:rsidP="0063315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Guidelines on the economic analysis of abuse of dominance cases.</w:t>
            </w:r>
          </w:p>
        </w:tc>
      </w:tr>
      <w:tr w:rsidR="00520587" w:rsidRPr="00520587" w14:paraId="16D9CB0C" w14:textId="77777777" w:rsidTr="005F7512">
        <w:trPr>
          <w:trHeight w:val="503"/>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03F58D2C" w14:textId="5161E464" w:rsidR="0050195D" w:rsidRPr="00520587" w:rsidRDefault="0050195D" w:rsidP="0063315B">
            <w:pPr>
              <w:jc w:val="center"/>
              <w:rPr>
                <w:rFonts w:ascii="Garamond" w:hAnsi="Garamond"/>
                <w:b w:val="0"/>
                <w:bCs w:val="0"/>
                <w:sz w:val="18"/>
                <w:szCs w:val="18"/>
              </w:rPr>
            </w:pPr>
            <w:r w:rsidRPr="00520587">
              <w:rPr>
                <w:rFonts w:ascii="Garamond" w:hAnsi="Garamond"/>
                <w:b w:val="0"/>
                <w:bCs w:val="0"/>
                <w:sz w:val="18"/>
                <w:szCs w:val="18"/>
              </w:rPr>
              <w:t>Can the Competition Authority issue binding regulation on competition?</w:t>
            </w:r>
          </w:p>
        </w:tc>
        <w:tc>
          <w:tcPr>
            <w:tcW w:w="1429" w:type="dxa"/>
            <w:vMerge w:val="restart"/>
            <w:tcBorders>
              <w:right w:val="single" w:sz="4" w:space="0" w:color="auto"/>
            </w:tcBorders>
            <w:vAlign w:val="center"/>
          </w:tcPr>
          <w:p w14:paraId="7E357B3E" w14:textId="5643E85F" w:rsidR="0050195D" w:rsidRPr="00520587" w:rsidRDefault="0050195D"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4151" w:type="dxa"/>
            <w:gridSpan w:val="4"/>
            <w:tcBorders>
              <w:left w:val="single" w:sz="4" w:space="0" w:color="auto"/>
              <w:bottom w:val="single" w:sz="4" w:space="0" w:color="auto"/>
            </w:tcBorders>
            <w:vAlign w:val="center"/>
          </w:tcPr>
          <w:p w14:paraId="64C5E472" w14:textId="1C44F460" w:rsidR="0050195D" w:rsidRPr="00520587" w:rsidRDefault="005F7512" w:rsidP="0063315B">
            <w:pPr>
              <w:cnfStyle w:val="000000000000" w:firstRow="0" w:lastRow="0" w:firstColumn="0" w:lastColumn="0" w:oddVBand="0" w:evenVBand="0" w:oddHBand="0" w:evenHBand="0" w:firstRowFirstColumn="0" w:firstRowLastColumn="0" w:lastRowFirstColumn="0" w:lastRowLastColumn="0"/>
              <w:rPr>
                <w:rFonts w:ascii="Garamond" w:hAnsi="Garamond"/>
                <w:i/>
                <w:sz w:val="18"/>
                <w:szCs w:val="18"/>
              </w:rPr>
            </w:pPr>
            <w:r w:rsidRPr="00520587">
              <w:rPr>
                <w:rFonts w:ascii="Garamond" w:hAnsi="Garamond"/>
                <w:i/>
                <w:sz w:val="18"/>
                <w:szCs w:val="18"/>
              </w:rPr>
              <w:t>[Please, explain which kind of regulation and mention the relevant provision on which the powers are based]</w:t>
            </w:r>
          </w:p>
        </w:tc>
      </w:tr>
      <w:tr w:rsidR="00520587" w:rsidRPr="00520587" w14:paraId="5A77D055" w14:textId="77777777" w:rsidTr="0050195D">
        <w:trPr>
          <w:cnfStyle w:val="000000100000" w:firstRow="0" w:lastRow="0" w:firstColumn="0" w:lastColumn="0" w:oddVBand="0" w:evenVBand="0" w:oddHBand="1" w:evenHBand="0" w:firstRowFirstColumn="0" w:firstRowLastColumn="0" w:lastRowFirstColumn="0" w:lastRowLastColumn="0"/>
          <w:trHeight w:val="350"/>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4D6E23F5" w14:textId="77777777" w:rsidR="0050195D" w:rsidRPr="00520587" w:rsidRDefault="0050195D"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156654F5" w14:textId="77777777" w:rsidR="0050195D" w:rsidRPr="00520587" w:rsidRDefault="0050195D"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779B47EA" w14:textId="77777777" w:rsidR="0050195D" w:rsidRPr="00520587" w:rsidRDefault="0050195D" w:rsidP="003F1837">
            <w:pPr>
              <w:jc w:val="center"/>
              <w:cnfStyle w:val="000000100000" w:firstRow="0" w:lastRow="0" w:firstColumn="0" w:lastColumn="0" w:oddVBand="0" w:evenVBand="0" w:oddHBand="1" w:evenHBand="0" w:firstRowFirstColumn="0" w:firstRowLastColumn="0" w:lastRowFirstColumn="0" w:lastRowLastColumn="0"/>
              <w:rPr>
                <w:rStyle w:val="hgkelc"/>
                <w:rFonts w:ascii="Garamond" w:hAnsi="Garamond"/>
                <w:b/>
                <w:bCs/>
                <w:sz w:val="18"/>
                <w:szCs w:val="18"/>
                <w:lang w:val="en"/>
              </w:rPr>
            </w:pPr>
            <w:r w:rsidRPr="00520587">
              <w:rPr>
                <w:rFonts w:ascii="Garamond" w:hAnsi="Garamond"/>
                <w:b/>
                <w:bCs/>
                <w:sz w:val="18"/>
                <w:szCs w:val="18"/>
              </w:rPr>
              <w:t xml:space="preserve">See </w:t>
            </w:r>
            <w:r w:rsidRPr="00520587">
              <w:rPr>
                <w:rStyle w:val="hgkelc"/>
                <w:rFonts w:ascii="Garamond" w:hAnsi="Garamond"/>
                <w:b/>
                <w:bCs/>
                <w:sz w:val="18"/>
                <w:szCs w:val="18"/>
                <w:lang w:val="en"/>
              </w:rPr>
              <w:t>§8 (e) of the Competition Act, 2012.</w:t>
            </w:r>
          </w:p>
          <w:p w14:paraId="11D60483" w14:textId="31F3541E" w:rsidR="0050195D" w:rsidRPr="00520587" w:rsidRDefault="003F1837" w:rsidP="0063315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ab/>
            </w:r>
            <w:r w:rsidR="0050195D" w:rsidRPr="00520587">
              <w:rPr>
                <w:rFonts w:ascii="Garamond" w:hAnsi="Garamond"/>
                <w:sz w:val="18"/>
                <w:szCs w:val="18"/>
              </w:rPr>
              <w:t>[The Commission has the powers …. to make rules, policy, instruction of notifications or administrative directions relating to competition….</w:t>
            </w:r>
            <w:r w:rsidR="00A47F4C" w:rsidRPr="00520587">
              <w:rPr>
                <w:rFonts w:ascii="Garamond" w:hAnsi="Garamond"/>
                <w:sz w:val="18"/>
                <w:szCs w:val="18"/>
              </w:rPr>
              <w:t>]</w:t>
            </w:r>
          </w:p>
        </w:tc>
      </w:tr>
      <w:tr w:rsidR="00520587" w:rsidRPr="00520587" w14:paraId="74EC80BD" w14:textId="77777777" w:rsidTr="00A97236">
        <w:trPr>
          <w:trHeight w:val="314"/>
        </w:trPr>
        <w:tc>
          <w:tcPr>
            <w:cnfStyle w:val="001000000000" w:firstRow="0" w:lastRow="0" w:firstColumn="1" w:lastColumn="0" w:oddVBand="0" w:evenVBand="0" w:oddHBand="0" w:evenHBand="0" w:firstRowFirstColumn="0" w:firstRowLastColumn="0" w:lastRowFirstColumn="0" w:lastRowLastColumn="0"/>
            <w:tcW w:w="9355" w:type="dxa"/>
            <w:gridSpan w:val="6"/>
            <w:vAlign w:val="center"/>
          </w:tcPr>
          <w:p w14:paraId="12EEF9A9" w14:textId="00D80224" w:rsidR="00A97236" w:rsidRPr="00520587" w:rsidRDefault="00A97236" w:rsidP="0063315B">
            <w:pPr>
              <w:rPr>
                <w:rFonts w:ascii="Garamond" w:hAnsi="Garamond"/>
                <w:sz w:val="18"/>
                <w:szCs w:val="18"/>
              </w:rPr>
            </w:pPr>
            <w:r w:rsidRPr="00520587">
              <w:rPr>
                <w:rFonts w:ascii="Garamond" w:hAnsi="Garamond"/>
                <w:sz w:val="18"/>
                <w:szCs w:val="18"/>
              </w:rPr>
              <w:t>Research &amp; Reporting</w:t>
            </w:r>
          </w:p>
        </w:tc>
      </w:tr>
      <w:tr w:rsidR="00520587" w:rsidRPr="00520587" w14:paraId="51869BE1" w14:textId="77777777" w:rsidTr="00FD07B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2BB941A2" w14:textId="65A7CD1E" w:rsidR="00FD07BE" w:rsidRPr="00520587" w:rsidRDefault="00FD07BE" w:rsidP="0063315B">
            <w:pPr>
              <w:jc w:val="center"/>
              <w:rPr>
                <w:rFonts w:ascii="Garamond" w:hAnsi="Garamond"/>
                <w:b w:val="0"/>
                <w:bCs w:val="0"/>
                <w:sz w:val="18"/>
                <w:szCs w:val="18"/>
              </w:rPr>
            </w:pPr>
            <w:r w:rsidRPr="00520587">
              <w:rPr>
                <w:rFonts w:ascii="Garamond" w:hAnsi="Garamond"/>
                <w:b w:val="0"/>
                <w:bCs w:val="0"/>
                <w:sz w:val="18"/>
                <w:szCs w:val="18"/>
              </w:rPr>
              <w:t>Can the Competition Authority carry out market studies?</w:t>
            </w:r>
          </w:p>
        </w:tc>
        <w:tc>
          <w:tcPr>
            <w:tcW w:w="1429" w:type="dxa"/>
            <w:vMerge w:val="restart"/>
            <w:tcBorders>
              <w:right w:val="single" w:sz="4" w:space="0" w:color="auto"/>
            </w:tcBorders>
            <w:vAlign w:val="center"/>
          </w:tcPr>
          <w:p w14:paraId="7D17BF09" w14:textId="7DC8D4CB" w:rsidR="00FD07BE" w:rsidRPr="00520587" w:rsidRDefault="00FD07BE"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4151" w:type="dxa"/>
            <w:gridSpan w:val="4"/>
            <w:tcBorders>
              <w:left w:val="single" w:sz="4" w:space="0" w:color="auto"/>
              <w:bottom w:val="single" w:sz="4" w:space="0" w:color="auto"/>
            </w:tcBorders>
            <w:vAlign w:val="center"/>
          </w:tcPr>
          <w:p w14:paraId="1308BEA6" w14:textId="7085F52B" w:rsidR="00FD07BE" w:rsidRPr="00520587" w:rsidRDefault="00FD07BE" w:rsidP="00A97236">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[If the answer is “yes”, include relevant provisions]</w:t>
            </w:r>
          </w:p>
        </w:tc>
      </w:tr>
      <w:tr w:rsidR="00520587" w:rsidRPr="00520587" w14:paraId="1DBC646B" w14:textId="77777777" w:rsidTr="00FD07BE">
        <w:trPr>
          <w:trHeight w:val="1735"/>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59AD36E6" w14:textId="77777777" w:rsidR="00FD07BE" w:rsidRPr="00520587" w:rsidRDefault="00FD07BE"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651FFE4D" w14:textId="77777777" w:rsidR="00FD07BE" w:rsidRPr="00520587" w:rsidRDefault="00FD07BE"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176BCDA1" w14:textId="77777777" w:rsidR="00FD07BE" w:rsidRPr="00520587" w:rsidRDefault="00FD07BE" w:rsidP="00A97236">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The Commission has the power to develop mass awareness by way of conducting research, seminars, symposiums, workshops, and other similar activities and to publish and disseminate the result of such research. Thus, the Commission has the power to conduct research on the market and take appropriate actions accordingly. See </w:t>
            </w:r>
            <w:r w:rsidRPr="00520587">
              <w:rPr>
                <w:rStyle w:val="hgkelc"/>
                <w:rFonts w:ascii="Garamond" w:hAnsi="Garamond"/>
                <w:sz w:val="18"/>
                <w:szCs w:val="18"/>
                <w:lang w:val="en"/>
              </w:rPr>
              <w:t>§8(h) of the Competition Act, 2012.</w:t>
            </w:r>
          </w:p>
        </w:tc>
      </w:tr>
      <w:tr w:rsidR="00520587" w:rsidRPr="00520587" w14:paraId="3AEF50E6" w14:textId="77777777" w:rsidTr="00FD07BE">
        <w:trPr>
          <w:cnfStyle w:val="000000100000" w:firstRow="0" w:lastRow="0" w:firstColumn="0" w:lastColumn="0" w:oddVBand="0" w:evenVBand="0" w:oddHBand="1" w:evenHBand="0" w:firstRowFirstColumn="0" w:firstRowLastColumn="0" w:lastRowFirstColumn="0" w:lastRowLastColumn="0"/>
          <w:trHeight w:val="316"/>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1833A0E9" w14:textId="3F2E800C" w:rsidR="00FD07BE" w:rsidRPr="00520587" w:rsidRDefault="00FD07BE" w:rsidP="0063315B">
            <w:pPr>
              <w:jc w:val="center"/>
              <w:rPr>
                <w:rFonts w:ascii="Garamond" w:hAnsi="Garamond"/>
                <w:b w:val="0"/>
                <w:bCs w:val="0"/>
                <w:sz w:val="18"/>
                <w:szCs w:val="18"/>
              </w:rPr>
            </w:pPr>
            <w:r w:rsidRPr="00520587">
              <w:rPr>
                <w:rFonts w:ascii="Garamond" w:hAnsi="Garamond"/>
                <w:b w:val="0"/>
                <w:bCs w:val="0"/>
                <w:sz w:val="18"/>
                <w:szCs w:val="18"/>
              </w:rPr>
              <w:t>Can the Competition Authority report to the legislature on the results of market studies?</w:t>
            </w:r>
          </w:p>
        </w:tc>
        <w:tc>
          <w:tcPr>
            <w:tcW w:w="1429" w:type="dxa"/>
            <w:vMerge w:val="restart"/>
            <w:tcBorders>
              <w:right w:val="single" w:sz="4" w:space="0" w:color="auto"/>
            </w:tcBorders>
            <w:vAlign w:val="center"/>
          </w:tcPr>
          <w:p w14:paraId="0FB0D653" w14:textId="3CAEB189" w:rsidR="00FD07BE" w:rsidRPr="00520587" w:rsidRDefault="00FD07BE"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Silent</w:t>
            </w:r>
          </w:p>
        </w:tc>
        <w:tc>
          <w:tcPr>
            <w:tcW w:w="4151" w:type="dxa"/>
            <w:gridSpan w:val="4"/>
            <w:tcBorders>
              <w:left w:val="single" w:sz="4" w:space="0" w:color="auto"/>
              <w:bottom w:val="single" w:sz="4" w:space="0" w:color="auto"/>
            </w:tcBorders>
            <w:vAlign w:val="center"/>
          </w:tcPr>
          <w:p w14:paraId="0E1AF32A" w14:textId="7DFD2088" w:rsidR="00FD07BE" w:rsidRPr="00520587" w:rsidRDefault="00FD07BE"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[If the answer is “yes”, include relevant provisions]</w:t>
            </w:r>
          </w:p>
        </w:tc>
      </w:tr>
      <w:tr w:rsidR="00520587" w:rsidRPr="00520587" w14:paraId="58B21A00" w14:textId="77777777" w:rsidTr="00FD07BE">
        <w:trPr>
          <w:trHeight w:val="1331"/>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1004B964" w14:textId="77777777" w:rsidR="00FD07BE" w:rsidRPr="00520587" w:rsidRDefault="00FD07BE"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2048F9C9" w14:textId="77777777" w:rsidR="00FD07BE" w:rsidRPr="00520587" w:rsidRDefault="00FD07BE"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2AA3604C" w14:textId="77777777" w:rsidR="00FD07BE" w:rsidRPr="00520587" w:rsidRDefault="00FD07BE"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No explicit provision. However, the Commission shall, within 90 days after the end of every financial year, submit to the President a report on the conduct of its affairs for that year. The President shall cause the report to be laid before the Parliament. See </w:t>
            </w:r>
            <w:r w:rsidRPr="00520587">
              <w:rPr>
                <w:rStyle w:val="hgkelc"/>
                <w:rFonts w:ascii="Garamond" w:hAnsi="Garamond"/>
                <w:sz w:val="18"/>
                <w:szCs w:val="18"/>
                <w:lang w:val="en"/>
              </w:rPr>
              <w:t>§39 of the Competition Act, 2019.</w:t>
            </w:r>
          </w:p>
        </w:tc>
      </w:tr>
      <w:tr w:rsidR="00520587" w:rsidRPr="00520587" w14:paraId="30358F5F" w14:textId="77777777" w:rsidTr="00A4011D">
        <w:trPr>
          <w:cnfStyle w:val="000000100000" w:firstRow="0" w:lastRow="0" w:firstColumn="0" w:lastColumn="0" w:oddVBand="0" w:evenVBand="0" w:oddHBand="1" w:evenHBand="0" w:firstRowFirstColumn="0" w:firstRowLastColumn="0" w:lastRowFirstColumn="0" w:lastRowLastColumn="0"/>
          <w:trHeight w:val="575"/>
        </w:trPr>
        <w:tc>
          <w:tcPr>
            <w:cnfStyle w:val="001000000000" w:firstRow="0" w:lastRow="0" w:firstColumn="1" w:lastColumn="0" w:oddVBand="0" w:evenVBand="0" w:oddHBand="0" w:evenHBand="0" w:firstRowFirstColumn="0" w:firstRowLastColumn="0" w:lastRowFirstColumn="0" w:lastRowLastColumn="0"/>
            <w:tcW w:w="9355" w:type="dxa"/>
            <w:gridSpan w:val="6"/>
            <w:vAlign w:val="center"/>
          </w:tcPr>
          <w:p w14:paraId="133D365A" w14:textId="77777777" w:rsidR="00A4011D" w:rsidRPr="00520587" w:rsidRDefault="00A4011D" w:rsidP="00A4011D">
            <w:pPr>
              <w:jc w:val="center"/>
              <w:rPr>
                <w:rFonts w:ascii="Garamond" w:hAnsi="Garamond"/>
                <w:b w:val="0"/>
                <w:bCs w:val="0"/>
                <w:smallCaps/>
                <w:sz w:val="22"/>
                <w:szCs w:val="22"/>
              </w:rPr>
            </w:pPr>
            <w:r w:rsidRPr="00520587">
              <w:rPr>
                <w:rFonts w:ascii="Garamond" w:hAnsi="Garamond"/>
                <w:smallCaps/>
                <w:sz w:val="22"/>
                <w:szCs w:val="22"/>
              </w:rPr>
              <w:t xml:space="preserve">Decision Making </w:t>
            </w:r>
          </w:p>
          <w:p w14:paraId="03996EA0" w14:textId="3B6572BD" w:rsidR="00A4011D" w:rsidRPr="00520587" w:rsidRDefault="00A4011D" w:rsidP="00A4011D">
            <w:pPr>
              <w:jc w:val="center"/>
              <w:rPr>
                <w:rFonts w:ascii="Garamond" w:hAnsi="Garamond"/>
                <w:sz w:val="18"/>
                <w:szCs w:val="18"/>
              </w:rPr>
            </w:pPr>
            <w:r w:rsidRPr="00520587">
              <w:rPr>
                <w:rFonts w:ascii="Garamond" w:hAnsi="Garamond"/>
                <w:smallCaps/>
                <w:sz w:val="22"/>
                <w:szCs w:val="22"/>
              </w:rPr>
              <w:t>Functions</w:t>
            </w:r>
          </w:p>
        </w:tc>
      </w:tr>
      <w:tr w:rsidR="00520587" w:rsidRPr="00520587" w14:paraId="284ABDCD" w14:textId="77777777" w:rsidTr="00A4011D">
        <w:trPr>
          <w:trHeight w:val="341"/>
        </w:trPr>
        <w:tc>
          <w:tcPr>
            <w:cnfStyle w:val="001000000000" w:firstRow="0" w:lastRow="0" w:firstColumn="1" w:lastColumn="0" w:oddVBand="0" w:evenVBand="0" w:oddHBand="0" w:evenHBand="0" w:firstRowFirstColumn="0" w:firstRowLastColumn="0" w:lastRowFirstColumn="0" w:lastRowLastColumn="0"/>
            <w:tcW w:w="9355" w:type="dxa"/>
            <w:gridSpan w:val="6"/>
            <w:vAlign w:val="center"/>
          </w:tcPr>
          <w:p w14:paraId="5D1C7894" w14:textId="03FB3EFB" w:rsidR="00A4011D" w:rsidRPr="00520587" w:rsidRDefault="00A4011D" w:rsidP="0063315B">
            <w:pPr>
              <w:rPr>
                <w:rFonts w:ascii="Garamond" w:hAnsi="Garamond"/>
                <w:sz w:val="18"/>
                <w:szCs w:val="18"/>
              </w:rPr>
            </w:pPr>
            <w:r w:rsidRPr="00520587">
              <w:rPr>
                <w:rFonts w:ascii="Garamond" w:hAnsi="Garamond"/>
                <w:sz w:val="18"/>
                <w:szCs w:val="18"/>
              </w:rPr>
              <w:t>Aggregated Functions</w:t>
            </w:r>
          </w:p>
        </w:tc>
      </w:tr>
      <w:tr w:rsidR="00520587" w:rsidRPr="00520587" w14:paraId="2B732162" w14:textId="77777777" w:rsidTr="009E6B80">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4CCB9908" w14:textId="6F7FEC4B" w:rsidR="00751A70" w:rsidRPr="00520587" w:rsidRDefault="00751A70" w:rsidP="0063315B">
            <w:pPr>
              <w:jc w:val="center"/>
              <w:rPr>
                <w:rFonts w:ascii="Garamond" w:hAnsi="Garamond"/>
                <w:b w:val="0"/>
                <w:bCs w:val="0"/>
                <w:sz w:val="18"/>
                <w:szCs w:val="18"/>
              </w:rPr>
            </w:pPr>
            <w:r w:rsidRPr="00520587">
              <w:rPr>
                <w:rFonts w:ascii="Garamond" w:hAnsi="Garamond"/>
                <w:b w:val="0"/>
                <w:bCs w:val="0"/>
                <w:sz w:val="18"/>
                <w:szCs w:val="18"/>
              </w:rPr>
              <w:t xml:space="preserve">Does the Competition Authority make the decision to investigate and make guilty findings? </w:t>
            </w:r>
          </w:p>
        </w:tc>
        <w:tc>
          <w:tcPr>
            <w:tcW w:w="1429" w:type="dxa"/>
            <w:vMerge w:val="restart"/>
            <w:tcBorders>
              <w:right w:val="single" w:sz="4" w:space="0" w:color="auto"/>
            </w:tcBorders>
            <w:vAlign w:val="center"/>
          </w:tcPr>
          <w:p w14:paraId="39BAB8AD" w14:textId="5A50E66E" w:rsidR="00751A70" w:rsidRPr="00520587" w:rsidRDefault="00751A70"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Yes </w:t>
            </w:r>
          </w:p>
        </w:tc>
        <w:tc>
          <w:tcPr>
            <w:tcW w:w="4151" w:type="dxa"/>
            <w:gridSpan w:val="4"/>
            <w:tcBorders>
              <w:left w:val="single" w:sz="4" w:space="0" w:color="auto"/>
              <w:bottom w:val="single" w:sz="4" w:space="0" w:color="auto"/>
            </w:tcBorders>
            <w:vAlign w:val="center"/>
          </w:tcPr>
          <w:p w14:paraId="4B4B867C" w14:textId="56E59C12" w:rsidR="00751A70" w:rsidRPr="00520587" w:rsidRDefault="00751A70"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[If the answer is “yes”, include relevant provisions]</w:t>
            </w:r>
          </w:p>
        </w:tc>
      </w:tr>
      <w:tr w:rsidR="00520587" w:rsidRPr="00520587" w14:paraId="5B488AA7" w14:textId="77777777" w:rsidTr="009E6B80">
        <w:trPr>
          <w:trHeight w:val="341"/>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5F3CE488" w14:textId="77777777" w:rsidR="00751A70" w:rsidRPr="00520587" w:rsidRDefault="00751A70"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3E181324" w14:textId="77777777" w:rsidR="00751A70" w:rsidRPr="00520587" w:rsidRDefault="00751A70"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3CA32ED6" w14:textId="268B19B1" w:rsidR="00751A70" w:rsidRPr="00520587" w:rsidRDefault="00751A70"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See </w:t>
            </w:r>
            <w:r w:rsidRPr="00520587">
              <w:rPr>
                <w:rStyle w:val="hgkelc"/>
                <w:rFonts w:ascii="Garamond" w:hAnsi="Garamond"/>
                <w:sz w:val="18"/>
                <w:szCs w:val="18"/>
                <w:lang w:val="en"/>
              </w:rPr>
              <w:t>§§18-20 of the Competition Act, 2012.</w:t>
            </w:r>
          </w:p>
        </w:tc>
      </w:tr>
      <w:tr w:rsidR="00520587" w:rsidRPr="00520587" w14:paraId="193ED32E" w14:textId="77777777" w:rsidTr="009E6B80">
        <w:trPr>
          <w:cnfStyle w:val="000000100000" w:firstRow="0" w:lastRow="0" w:firstColumn="0" w:lastColumn="0" w:oddVBand="0" w:evenVBand="0" w:oddHBand="1"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3408502A" w14:textId="45AC9521" w:rsidR="009E6B80" w:rsidRPr="00520587" w:rsidRDefault="009E6B80" w:rsidP="0063315B">
            <w:pPr>
              <w:jc w:val="center"/>
              <w:rPr>
                <w:rFonts w:ascii="Garamond" w:hAnsi="Garamond"/>
                <w:b w:val="0"/>
                <w:bCs w:val="0"/>
                <w:sz w:val="18"/>
                <w:szCs w:val="18"/>
              </w:rPr>
            </w:pPr>
            <w:r w:rsidRPr="00520587">
              <w:rPr>
                <w:rFonts w:ascii="Garamond" w:hAnsi="Garamond"/>
                <w:b w:val="0"/>
                <w:bCs w:val="0"/>
                <w:sz w:val="18"/>
                <w:szCs w:val="18"/>
              </w:rPr>
              <w:t xml:space="preserve">Does the Competition Authority impose punishment? </w:t>
            </w:r>
          </w:p>
        </w:tc>
        <w:tc>
          <w:tcPr>
            <w:tcW w:w="1429" w:type="dxa"/>
            <w:vMerge w:val="restart"/>
            <w:tcBorders>
              <w:right w:val="single" w:sz="4" w:space="0" w:color="auto"/>
            </w:tcBorders>
            <w:vAlign w:val="center"/>
          </w:tcPr>
          <w:p w14:paraId="3DF81939" w14:textId="130685B3" w:rsidR="009E6B80" w:rsidRPr="00520587" w:rsidRDefault="009E6B80"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Yes</w:t>
            </w:r>
          </w:p>
        </w:tc>
        <w:tc>
          <w:tcPr>
            <w:tcW w:w="4151" w:type="dxa"/>
            <w:gridSpan w:val="4"/>
            <w:tcBorders>
              <w:left w:val="single" w:sz="4" w:space="0" w:color="auto"/>
              <w:bottom w:val="single" w:sz="4" w:space="0" w:color="auto"/>
            </w:tcBorders>
            <w:vAlign w:val="center"/>
          </w:tcPr>
          <w:p w14:paraId="71EC81DC" w14:textId="7BDD98F8" w:rsidR="009E6B80" w:rsidRPr="00520587" w:rsidRDefault="009E6B80"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 xml:space="preserve">[If the answer is “yes”, please </w:t>
            </w:r>
            <w:proofErr w:type="gramStart"/>
            <w:r w:rsidRPr="00520587">
              <w:rPr>
                <w:rFonts w:ascii="Garamond" w:hAnsi="Garamond"/>
                <w:i/>
                <w:sz w:val="18"/>
                <w:szCs w:val="18"/>
              </w:rPr>
              <w:t>mention</w:t>
            </w:r>
            <w:proofErr w:type="gramEnd"/>
            <w:r w:rsidRPr="00520587">
              <w:rPr>
                <w:rFonts w:ascii="Garamond" w:hAnsi="Garamond"/>
                <w:i/>
                <w:sz w:val="18"/>
                <w:szCs w:val="18"/>
              </w:rPr>
              <w:t xml:space="preserve"> the different kinds of sanctions that the agency can impose]</w:t>
            </w:r>
          </w:p>
        </w:tc>
      </w:tr>
      <w:tr w:rsidR="00520587" w:rsidRPr="00520587" w14:paraId="31FE472F" w14:textId="77777777" w:rsidTr="009E6B80">
        <w:trPr>
          <w:trHeight w:val="287"/>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780A7F66" w14:textId="77777777" w:rsidR="009E6B80" w:rsidRPr="00520587" w:rsidRDefault="009E6B80"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45C660DE" w14:textId="77777777" w:rsidR="009E6B80" w:rsidRPr="00520587" w:rsidRDefault="009E6B80"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68FBD5E9" w14:textId="77777777" w:rsidR="009E6B80" w:rsidRPr="00520587" w:rsidRDefault="009E6B80" w:rsidP="0063315B">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Punishment that the Commission can impose are:</w:t>
            </w:r>
          </w:p>
          <w:p w14:paraId="68C2ADDA" w14:textId="243B8002" w:rsidR="00692D2B" w:rsidRPr="00520587" w:rsidRDefault="00692D2B" w:rsidP="007C44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Order to refrain from anti-competitive activities;</w:t>
            </w:r>
          </w:p>
          <w:p w14:paraId="08FDBD91" w14:textId="7BEA5B6F" w:rsidR="009E6B80" w:rsidRPr="00520587" w:rsidRDefault="009E6B80" w:rsidP="007C44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Administrative penalty;</w:t>
            </w:r>
          </w:p>
          <w:p w14:paraId="00CB1C03" w14:textId="77777777" w:rsidR="009E6B80" w:rsidRPr="00520587" w:rsidRDefault="009E6B80" w:rsidP="007C44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Fine;</w:t>
            </w:r>
          </w:p>
          <w:p w14:paraId="7928AC96" w14:textId="77777777" w:rsidR="009E6B80" w:rsidRPr="00520587" w:rsidRDefault="009E6B80" w:rsidP="007C4481">
            <w:pPr>
              <w:pStyle w:val="ListParagraph"/>
              <w:numPr>
                <w:ilvl w:val="0"/>
                <w:numId w:val="13"/>
              </w:num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Any other necessary orders.</w:t>
            </w:r>
          </w:p>
          <w:p w14:paraId="667F0561" w14:textId="01923A49" w:rsidR="009E6B80" w:rsidRPr="00520587" w:rsidRDefault="009E6B80" w:rsidP="009E6B80">
            <w:pPr>
              <w:jc w:val="right"/>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See </w:t>
            </w:r>
            <w:r w:rsidRPr="00520587">
              <w:rPr>
                <w:rStyle w:val="hgkelc"/>
                <w:rFonts w:ascii="Garamond" w:hAnsi="Garamond"/>
                <w:sz w:val="18"/>
                <w:szCs w:val="18"/>
                <w:lang w:val="en"/>
              </w:rPr>
              <w:t xml:space="preserve">§20 of the Competition Act, 2012. </w:t>
            </w:r>
          </w:p>
        </w:tc>
      </w:tr>
      <w:tr w:rsidR="00520587" w:rsidRPr="00520587" w14:paraId="5B18F7C8" w14:textId="77777777" w:rsidTr="00692D2B">
        <w:trPr>
          <w:cnfStyle w:val="000000100000" w:firstRow="0" w:lastRow="0" w:firstColumn="0" w:lastColumn="0" w:oddVBand="0" w:evenVBand="0" w:oddHBand="1" w:evenHBand="0" w:firstRowFirstColumn="0" w:firstRowLastColumn="0" w:lastRowFirstColumn="0" w:lastRowLastColumn="0"/>
          <w:trHeight w:val="1700"/>
        </w:trPr>
        <w:tc>
          <w:tcPr>
            <w:cnfStyle w:val="001000000000" w:firstRow="0" w:lastRow="0" w:firstColumn="1" w:lastColumn="0" w:oddVBand="0" w:evenVBand="0" w:oddHBand="0" w:evenHBand="0" w:firstRowFirstColumn="0" w:firstRowLastColumn="0" w:lastRowFirstColumn="0" w:lastRowLastColumn="0"/>
            <w:tcW w:w="3775" w:type="dxa"/>
            <w:vMerge w:val="restart"/>
            <w:vAlign w:val="center"/>
          </w:tcPr>
          <w:p w14:paraId="4D839308" w14:textId="1924812C" w:rsidR="00692D2B" w:rsidRPr="00520587" w:rsidRDefault="00692D2B" w:rsidP="0063315B">
            <w:pPr>
              <w:jc w:val="center"/>
              <w:rPr>
                <w:rFonts w:ascii="Garamond" w:hAnsi="Garamond"/>
                <w:b w:val="0"/>
                <w:bCs w:val="0"/>
                <w:sz w:val="18"/>
                <w:szCs w:val="18"/>
              </w:rPr>
            </w:pPr>
            <w:r w:rsidRPr="00520587">
              <w:rPr>
                <w:rFonts w:ascii="Garamond" w:hAnsi="Garamond"/>
                <w:b w:val="0"/>
                <w:bCs w:val="0"/>
                <w:sz w:val="18"/>
                <w:szCs w:val="18"/>
              </w:rPr>
              <w:lastRenderedPageBreak/>
              <w:t>Is there a single body that carries out the investigation and the guilty findings within the Competition Authority?</w:t>
            </w:r>
          </w:p>
        </w:tc>
        <w:tc>
          <w:tcPr>
            <w:tcW w:w="1429" w:type="dxa"/>
            <w:vMerge w:val="restart"/>
            <w:tcBorders>
              <w:right w:val="single" w:sz="4" w:space="0" w:color="auto"/>
            </w:tcBorders>
            <w:vAlign w:val="center"/>
          </w:tcPr>
          <w:p w14:paraId="4BAC7F6F" w14:textId="346B7D79" w:rsidR="00692D2B" w:rsidRPr="00520587" w:rsidRDefault="0048229B"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No</w:t>
            </w:r>
          </w:p>
        </w:tc>
        <w:tc>
          <w:tcPr>
            <w:tcW w:w="4151" w:type="dxa"/>
            <w:gridSpan w:val="4"/>
            <w:tcBorders>
              <w:left w:val="single" w:sz="4" w:space="0" w:color="auto"/>
              <w:bottom w:val="single" w:sz="4" w:space="0" w:color="auto"/>
            </w:tcBorders>
            <w:vAlign w:val="center"/>
          </w:tcPr>
          <w:p w14:paraId="33A1A3E3" w14:textId="0D1570B6" w:rsidR="00692D2B" w:rsidRPr="00520587" w:rsidRDefault="00692D2B" w:rsidP="0063315B">
            <w:pPr>
              <w:cnfStyle w:val="000000100000" w:firstRow="0" w:lastRow="0" w:firstColumn="0" w:lastColumn="0" w:oddVBand="0" w:evenVBand="0" w:oddHBand="1" w:evenHBand="0" w:firstRowFirstColumn="0" w:firstRowLastColumn="0" w:lastRowFirstColumn="0" w:lastRowLastColumn="0"/>
              <w:rPr>
                <w:rFonts w:ascii="Garamond" w:hAnsi="Garamond"/>
                <w:i/>
                <w:sz w:val="18"/>
                <w:szCs w:val="18"/>
              </w:rPr>
            </w:pPr>
            <w:r w:rsidRPr="00520587">
              <w:rPr>
                <w:rFonts w:ascii="Garamond" w:hAnsi="Garamond"/>
                <w:i/>
                <w:sz w:val="18"/>
                <w:szCs w:val="18"/>
              </w:rPr>
              <w:t xml:space="preserve">[Regardless of the answer please </w:t>
            </w:r>
            <w:r w:rsidR="0048229B" w:rsidRPr="00520587">
              <w:rPr>
                <w:rFonts w:ascii="Garamond" w:hAnsi="Garamond"/>
                <w:i/>
                <w:sz w:val="18"/>
                <w:szCs w:val="18"/>
              </w:rPr>
              <w:t>briefly explain</w:t>
            </w:r>
            <w:r w:rsidRPr="00520587">
              <w:rPr>
                <w:rFonts w:ascii="Garamond" w:hAnsi="Garamond"/>
                <w:i/>
                <w:sz w:val="18"/>
                <w:szCs w:val="18"/>
              </w:rPr>
              <w:t xml:space="preserve"> the enforcement process until the final decision is issued, include relevant provisions, and if the answer is “No” mention how the head of the body that carries out the investigation is elected and removed. The main idea of this last point is to establish whether the investigation authority is, in fact, independent from the decision-making body]</w:t>
            </w:r>
          </w:p>
        </w:tc>
      </w:tr>
      <w:tr w:rsidR="00520587" w:rsidRPr="00520587" w14:paraId="24EA1B73" w14:textId="77777777" w:rsidTr="00692D2B">
        <w:trPr>
          <w:trHeight w:val="873"/>
        </w:trPr>
        <w:tc>
          <w:tcPr>
            <w:cnfStyle w:val="001000000000" w:firstRow="0" w:lastRow="0" w:firstColumn="1" w:lastColumn="0" w:oddVBand="0" w:evenVBand="0" w:oddHBand="0" w:evenHBand="0" w:firstRowFirstColumn="0" w:firstRowLastColumn="0" w:lastRowFirstColumn="0" w:lastRowLastColumn="0"/>
            <w:tcW w:w="3775" w:type="dxa"/>
            <w:vMerge/>
            <w:vAlign w:val="center"/>
          </w:tcPr>
          <w:p w14:paraId="535CF189" w14:textId="77777777" w:rsidR="00692D2B" w:rsidRPr="00520587" w:rsidRDefault="00692D2B" w:rsidP="0063315B">
            <w:pPr>
              <w:jc w:val="center"/>
              <w:rPr>
                <w:rFonts w:ascii="Garamond" w:hAnsi="Garamond"/>
                <w:b w:val="0"/>
                <w:bCs w:val="0"/>
                <w:sz w:val="18"/>
                <w:szCs w:val="18"/>
              </w:rPr>
            </w:pPr>
          </w:p>
        </w:tc>
        <w:tc>
          <w:tcPr>
            <w:tcW w:w="1429" w:type="dxa"/>
            <w:vMerge/>
            <w:tcBorders>
              <w:right w:val="single" w:sz="4" w:space="0" w:color="auto"/>
            </w:tcBorders>
            <w:vAlign w:val="center"/>
          </w:tcPr>
          <w:p w14:paraId="2FAAF76A" w14:textId="77777777" w:rsidR="00692D2B" w:rsidRPr="00520587" w:rsidRDefault="00692D2B" w:rsidP="0063315B">
            <w:pPr>
              <w:jc w:val="cente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p>
        </w:tc>
        <w:tc>
          <w:tcPr>
            <w:tcW w:w="4151" w:type="dxa"/>
            <w:gridSpan w:val="4"/>
            <w:tcBorders>
              <w:top w:val="single" w:sz="4" w:space="0" w:color="auto"/>
              <w:left w:val="single" w:sz="4" w:space="0" w:color="auto"/>
            </w:tcBorders>
            <w:vAlign w:val="center"/>
          </w:tcPr>
          <w:p w14:paraId="55F510ED" w14:textId="1744C509" w:rsidR="0048229B" w:rsidRPr="00520587" w:rsidRDefault="00C7190C" w:rsidP="00C7190C">
            <w:pPr>
              <w:spacing w:after="8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ab/>
            </w:r>
            <w:r w:rsidR="0048229B" w:rsidRPr="00520587">
              <w:rPr>
                <w:rFonts w:ascii="Garamond" w:hAnsi="Garamond"/>
                <w:sz w:val="18"/>
                <w:szCs w:val="18"/>
              </w:rPr>
              <w:t xml:space="preserve">Any person or entity along with necessary documents can file, either directly, or by mail or via online, a complaint to the Commission. </w:t>
            </w:r>
            <w:r w:rsidRPr="00520587">
              <w:rPr>
                <w:rFonts w:ascii="Garamond" w:hAnsi="Garamond"/>
                <w:sz w:val="18"/>
                <w:szCs w:val="18"/>
              </w:rPr>
              <w:t xml:space="preserve">See Rule 3(1) of the Bangladesh Competition Commission (Inquiry, Investigation, Review and Appeal) Rules, 2022. </w:t>
            </w:r>
          </w:p>
          <w:p w14:paraId="4CE2692F" w14:textId="0B3178CB" w:rsidR="00692D2B" w:rsidRPr="00520587" w:rsidRDefault="00C7190C" w:rsidP="00572789">
            <w:pPr>
              <w:spacing w:after="80"/>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ab/>
              <w:t xml:space="preserve">If </w:t>
            </w:r>
            <w:r w:rsidR="00332BBC" w:rsidRPr="00520587">
              <w:rPr>
                <w:rFonts w:ascii="Garamond" w:hAnsi="Garamond"/>
                <w:sz w:val="18"/>
                <w:szCs w:val="18"/>
              </w:rPr>
              <w:t xml:space="preserve">the complaint has substance, </w:t>
            </w:r>
            <w:r w:rsidRPr="00520587">
              <w:rPr>
                <w:rFonts w:ascii="Garamond" w:hAnsi="Garamond"/>
                <w:sz w:val="18"/>
                <w:szCs w:val="18"/>
              </w:rPr>
              <w:t xml:space="preserve">it will be sent for inquiry to the inquiry and investigation wing. Id. Rule 6. </w:t>
            </w:r>
            <w:r w:rsidR="00332BBC" w:rsidRPr="00520587">
              <w:rPr>
                <w:rFonts w:ascii="Garamond" w:hAnsi="Garamond"/>
                <w:sz w:val="18"/>
                <w:szCs w:val="18"/>
              </w:rPr>
              <w:t xml:space="preserve">The inquiry and investigation shall be completed within 15 days. Id. Rule 8(1). An additional period of 10 days will be granted if the investigation cannot be completed within 15 days. Id. Rule 8(2). </w:t>
            </w:r>
            <w:r w:rsidR="00E25B88" w:rsidRPr="00520587">
              <w:rPr>
                <w:rFonts w:ascii="Garamond" w:hAnsi="Garamond"/>
                <w:sz w:val="18"/>
                <w:szCs w:val="18"/>
              </w:rPr>
              <w:t xml:space="preserve">Upon the completion of inquiry, </w:t>
            </w:r>
            <w:r w:rsidR="0035631E" w:rsidRPr="00520587">
              <w:rPr>
                <w:rFonts w:ascii="Garamond" w:hAnsi="Garamond"/>
                <w:sz w:val="18"/>
                <w:szCs w:val="18"/>
              </w:rPr>
              <w:t xml:space="preserve">the report shall be submitted to the inquiry and investigation wing. Id. Rule 11. </w:t>
            </w:r>
            <w:r w:rsidR="00572789" w:rsidRPr="00520587">
              <w:rPr>
                <w:rFonts w:ascii="Garamond" w:hAnsi="Garamond"/>
                <w:sz w:val="18"/>
                <w:szCs w:val="18"/>
              </w:rPr>
              <w:t xml:space="preserve">If the allegation is proved, the complaint will be adjudicated by conducting a hearing. Id. Rule 12. The Commission can impose any penalty specified in section 20 or file a complaint under section 8(1)(c). </w:t>
            </w:r>
          </w:p>
        </w:tc>
      </w:tr>
      <w:tr w:rsidR="00520587" w:rsidRPr="00520587" w14:paraId="2F71DB2E" w14:textId="77777777" w:rsidTr="00692D2B">
        <w:trPr>
          <w:cnfStyle w:val="000000100000" w:firstRow="0" w:lastRow="0" w:firstColumn="0" w:lastColumn="0" w:oddVBand="0" w:evenVBand="0" w:oddHBand="1" w:evenHBand="0" w:firstRowFirstColumn="0" w:firstRowLastColumn="0" w:lastRowFirstColumn="0" w:lastRowLastColumn="0"/>
          <w:trHeight w:val="458"/>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04959DFF" w14:textId="1DF8ECF9" w:rsidR="00A83587" w:rsidRPr="00520587" w:rsidRDefault="00692D2B" w:rsidP="0063315B">
            <w:pPr>
              <w:jc w:val="center"/>
              <w:rPr>
                <w:rFonts w:ascii="Garamond" w:hAnsi="Garamond"/>
                <w:b w:val="0"/>
                <w:bCs w:val="0"/>
                <w:sz w:val="18"/>
                <w:szCs w:val="18"/>
              </w:rPr>
            </w:pPr>
            <w:r w:rsidRPr="00520587">
              <w:rPr>
                <w:rFonts w:ascii="Garamond" w:hAnsi="Garamond"/>
                <w:b w:val="0"/>
                <w:bCs w:val="0"/>
                <w:sz w:val="18"/>
                <w:szCs w:val="18"/>
              </w:rPr>
              <w:t xml:space="preserve">Can the Competition </w:t>
            </w:r>
            <w:bookmarkStart w:id="0" w:name="_GoBack"/>
            <w:bookmarkEnd w:id="0"/>
            <w:r w:rsidRPr="00520587">
              <w:rPr>
                <w:rFonts w:ascii="Garamond" w:hAnsi="Garamond"/>
                <w:b w:val="0"/>
                <w:bCs w:val="0"/>
                <w:sz w:val="18"/>
                <w:szCs w:val="18"/>
              </w:rPr>
              <w:t>Authority’s decision be appealed to a court?</w:t>
            </w:r>
          </w:p>
        </w:tc>
        <w:tc>
          <w:tcPr>
            <w:tcW w:w="1429" w:type="dxa"/>
            <w:tcBorders>
              <w:right w:val="single" w:sz="4" w:space="0" w:color="auto"/>
            </w:tcBorders>
            <w:vAlign w:val="center"/>
          </w:tcPr>
          <w:p w14:paraId="7ADAFD13" w14:textId="0F55CFAE" w:rsidR="00A83587" w:rsidRPr="00520587" w:rsidRDefault="00572789" w:rsidP="0063315B">
            <w:pPr>
              <w:jc w:val="cente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No</w:t>
            </w:r>
          </w:p>
        </w:tc>
        <w:tc>
          <w:tcPr>
            <w:tcW w:w="4151" w:type="dxa"/>
            <w:gridSpan w:val="4"/>
            <w:tcBorders>
              <w:left w:val="single" w:sz="4" w:space="0" w:color="auto"/>
            </w:tcBorders>
            <w:vAlign w:val="center"/>
          </w:tcPr>
          <w:p w14:paraId="18A5322D" w14:textId="3BE33219" w:rsidR="00A83587" w:rsidRPr="00520587" w:rsidRDefault="00572789" w:rsidP="00F21AAA">
            <w:pPr>
              <w:jc w:val="center"/>
              <w:cnfStyle w:val="000000100000" w:firstRow="0" w:lastRow="0" w:firstColumn="0" w:lastColumn="0" w:oddVBand="0" w:evenVBand="0" w:oddHBand="1" w:evenHBand="0" w:firstRowFirstColumn="0" w:firstRowLastColumn="0" w:lastRowFirstColumn="0" w:lastRowLastColumn="0"/>
              <w:rPr>
                <w:rFonts w:ascii="Garamond" w:hAnsi="Garamond"/>
                <w:b/>
                <w:bCs/>
                <w:sz w:val="18"/>
                <w:szCs w:val="18"/>
              </w:rPr>
            </w:pPr>
            <w:r w:rsidRPr="00520587">
              <w:rPr>
                <w:rFonts w:ascii="Garamond" w:hAnsi="Garamond"/>
                <w:b/>
                <w:bCs/>
                <w:sz w:val="18"/>
                <w:szCs w:val="18"/>
              </w:rPr>
              <w:t>Comment</w:t>
            </w:r>
          </w:p>
          <w:p w14:paraId="3E2BC002" w14:textId="1E596512" w:rsidR="00572789" w:rsidRPr="00520587" w:rsidRDefault="00572789" w:rsidP="0063315B">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Under the Competition Act, </w:t>
            </w:r>
            <w:r w:rsidR="00F21AAA" w:rsidRPr="00520587">
              <w:rPr>
                <w:rFonts w:ascii="Garamond" w:hAnsi="Garamond"/>
                <w:sz w:val="18"/>
                <w:szCs w:val="18"/>
              </w:rPr>
              <w:t xml:space="preserve">no option of appeal before the Court against the Commission’s decision. However, the Commission’s decision can be challenged by writ petition before the High Court Division of the Supreme Court of Bangladesh. See Article 102 of the Constitution of the People’s Republic Bangladesh. </w:t>
            </w:r>
          </w:p>
        </w:tc>
      </w:tr>
      <w:tr w:rsidR="00520587" w:rsidRPr="00520587" w14:paraId="5EA60963" w14:textId="77777777" w:rsidTr="009A20C8">
        <w:trPr>
          <w:trHeight w:val="332"/>
        </w:trPr>
        <w:tc>
          <w:tcPr>
            <w:cnfStyle w:val="001000000000" w:firstRow="0" w:lastRow="0" w:firstColumn="1" w:lastColumn="0" w:oddVBand="0" w:evenVBand="0" w:oddHBand="0" w:evenHBand="0" w:firstRowFirstColumn="0" w:firstRowLastColumn="0" w:lastRowFirstColumn="0" w:lastRowLastColumn="0"/>
            <w:tcW w:w="9355" w:type="dxa"/>
            <w:gridSpan w:val="6"/>
            <w:vAlign w:val="center"/>
          </w:tcPr>
          <w:p w14:paraId="20510127" w14:textId="2421DD12" w:rsidR="009A20C8" w:rsidRPr="00520587" w:rsidRDefault="009A20C8" w:rsidP="009A20C8">
            <w:pPr>
              <w:jc w:val="center"/>
              <w:rPr>
                <w:rFonts w:ascii="Garamond" w:hAnsi="Garamond"/>
                <w:sz w:val="18"/>
                <w:szCs w:val="18"/>
              </w:rPr>
            </w:pPr>
            <w:r w:rsidRPr="00520587">
              <w:rPr>
                <w:rFonts w:ascii="Garamond" w:hAnsi="Garamond"/>
                <w:sz w:val="22"/>
                <w:szCs w:val="22"/>
              </w:rPr>
              <w:t>Miscellaneous</w:t>
            </w:r>
            <w:r w:rsidRPr="00520587">
              <w:rPr>
                <w:rFonts w:ascii="Garamond" w:hAnsi="Garamond"/>
                <w:sz w:val="18"/>
                <w:szCs w:val="18"/>
              </w:rPr>
              <w:t xml:space="preserve"> </w:t>
            </w:r>
          </w:p>
        </w:tc>
      </w:tr>
      <w:tr w:rsidR="00520587" w:rsidRPr="00520587" w14:paraId="31995D7D" w14:textId="77777777" w:rsidTr="009A20C8">
        <w:trPr>
          <w:cnfStyle w:val="000000100000" w:firstRow="0" w:lastRow="0" w:firstColumn="0" w:lastColumn="0" w:oddVBand="0" w:evenVBand="0" w:oddHBand="1" w:evenHBand="0" w:firstRowFirstColumn="0" w:firstRowLastColumn="0" w:lastRowFirstColumn="0" w:lastRowLastColumn="0"/>
          <w:trHeight w:val="1520"/>
        </w:trPr>
        <w:tc>
          <w:tcPr>
            <w:cnfStyle w:val="001000000000" w:firstRow="0" w:lastRow="0" w:firstColumn="1" w:lastColumn="0" w:oddVBand="0" w:evenVBand="0" w:oddHBand="0" w:evenHBand="0" w:firstRowFirstColumn="0" w:firstRowLastColumn="0" w:lastRowFirstColumn="0" w:lastRowLastColumn="0"/>
            <w:tcW w:w="3775" w:type="dxa"/>
            <w:vAlign w:val="center"/>
          </w:tcPr>
          <w:p w14:paraId="561144A8" w14:textId="37C3DFA4" w:rsidR="009A20C8" w:rsidRPr="00520587" w:rsidRDefault="009A20C8" w:rsidP="0063315B">
            <w:pPr>
              <w:jc w:val="center"/>
              <w:rPr>
                <w:rFonts w:ascii="Garamond" w:hAnsi="Garamond"/>
                <w:b w:val="0"/>
                <w:bCs w:val="0"/>
                <w:sz w:val="18"/>
                <w:szCs w:val="18"/>
              </w:rPr>
            </w:pPr>
            <w:r w:rsidRPr="00342D61">
              <w:rPr>
                <w:rFonts w:ascii="Garamond" w:hAnsi="Garamond"/>
                <w:b w:val="0"/>
                <w:bCs w:val="0"/>
                <w:sz w:val="18"/>
                <w:szCs w:val="18"/>
              </w:rPr>
              <w:t>Offences Committed by Companies, Directors, Mangers, or Employees.</w:t>
            </w:r>
          </w:p>
        </w:tc>
        <w:tc>
          <w:tcPr>
            <w:tcW w:w="5580" w:type="dxa"/>
            <w:gridSpan w:val="5"/>
            <w:vAlign w:val="center"/>
          </w:tcPr>
          <w:p w14:paraId="2B31D3DC" w14:textId="45B0B91E" w:rsidR="009A20C8" w:rsidRPr="00520587" w:rsidRDefault="009A20C8" w:rsidP="009A20C8">
            <w:pPr>
              <w:cnfStyle w:val="000000100000" w:firstRow="0" w:lastRow="0" w:firstColumn="0" w:lastColumn="0" w:oddVBand="0" w:evenVBand="0" w:oddHBand="1"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Offences under the Competition Act mean any contravention of orders passed by the Commission or the Government. If any offence is committed by any company, the owner, director, manager, secretary or any other officer or employee or agent of the company shall be deemed to have committed the offence, unless he proves that the offence was committed beyond his knowledge or that he exercised all due diligence to prevent the commission of such offence. </w:t>
            </w:r>
            <w:r w:rsidRPr="00520587">
              <w:rPr>
                <w:rFonts w:ascii="Garamond" w:hAnsi="Garamond" w:cs="TimesNewRoman"/>
                <w:i/>
                <w:iCs/>
                <w:kern w:val="0"/>
                <w:sz w:val="18"/>
                <w:szCs w:val="18"/>
              </w:rPr>
              <w:t>See</w:t>
            </w:r>
            <w:r w:rsidRPr="00520587">
              <w:rPr>
                <w:rFonts w:ascii="Garamond" w:hAnsi="Garamond" w:cs="TimesNewRoman"/>
                <w:kern w:val="0"/>
                <w:sz w:val="18"/>
                <w:szCs w:val="18"/>
              </w:rPr>
              <w:t xml:space="preserve"> </w:t>
            </w:r>
            <w:r w:rsidRPr="00520587">
              <w:rPr>
                <w:rStyle w:val="hgkelc"/>
                <w:rFonts w:ascii="Garamond" w:hAnsi="Garamond"/>
                <w:sz w:val="18"/>
                <w:szCs w:val="18"/>
                <w:lang w:val="en"/>
              </w:rPr>
              <w:t>§35(1).</w:t>
            </w:r>
          </w:p>
        </w:tc>
      </w:tr>
      <w:tr w:rsidR="00520587" w:rsidRPr="00520587" w14:paraId="58B8C71E" w14:textId="77777777" w:rsidTr="00644477">
        <w:tc>
          <w:tcPr>
            <w:cnfStyle w:val="001000000000" w:firstRow="0" w:lastRow="0" w:firstColumn="1" w:lastColumn="0" w:oddVBand="0" w:evenVBand="0" w:oddHBand="0" w:evenHBand="0" w:firstRowFirstColumn="0" w:firstRowLastColumn="0" w:lastRowFirstColumn="0" w:lastRowLastColumn="0"/>
            <w:tcW w:w="3775" w:type="dxa"/>
            <w:vAlign w:val="center"/>
          </w:tcPr>
          <w:p w14:paraId="04352514" w14:textId="1614C0F5" w:rsidR="009A20C8" w:rsidRPr="00520587" w:rsidRDefault="009A20C8" w:rsidP="0063315B">
            <w:pPr>
              <w:jc w:val="center"/>
              <w:rPr>
                <w:rFonts w:ascii="Garamond" w:hAnsi="Garamond"/>
                <w:b w:val="0"/>
                <w:bCs w:val="0"/>
                <w:sz w:val="18"/>
                <w:szCs w:val="18"/>
              </w:rPr>
            </w:pPr>
            <w:r w:rsidRPr="00520587">
              <w:rPr>
                <w:rFonts w:ascii="Garamond" w:hAnsi="Garamond"/>
                <w:b w:val="0"/>
                <w:bCs w:val="0"/>
                <w:sz w:val="18"/>
                <w:szCs w:val="18"/>
              </w:rPr>
              <w:t>Accountability of Employees &amp; Delegation of Powers</w:t>
            </w:r>
          </w:p>
        </w:tc>
        <w:tc>
          <w:tcPr>
            <w:tcW w:w="5580" w:type="dxa"/>
            <w:gridSpan w:val="5"/>
            <w:vAlign w:val="center"/>
          </w:tcPr>
          <w:p w14:paraId="0A02378B" w14:textId="77777777" w:rsidR="009A20C8" w:rsidRPr="00520587" w:rsidRDefault="009A20C8" w:rsidP="009A20C8">
            <w:pPr>
              <w:cnfStyle w:val="000000000000" w:firstRow="0" w:lastRow="0" w:firstColumn="0" w:lastColumn="0" w:oddVBand="0" w:evenVBand="0" w:oddHBand="0" w:evenHBand="0" w:firstRowFirstColumn="0" w:firstRowLastColumn="0" w:lastRowFirstColumn="0" w:lastRowLastColumn="0"/>
              <w:rPr>
                <w:rStyle w:val="hgkelc"/>
                <w:rFonts w:ascii="Garamond" w:hAnsi="Garamond"/>
                <w:sz w:val="18"/>
                <w:szCs w:val="18"/>
              </w:rPr>
            </w:pPr>
            <w:r w:rsidRPr="00520587">
              <w:rPr>
                <w:rFonts w:ascii="Garamond" w:hAnsi="Garamond"/>
                <w:sz w:val="18"/>
                <w:szCs w:val="18"/>
              </w:rPr>
              <w:t xml:space="preserve">The Member of the Commission shall discharge their duties under the guidance and control of the Chairperson and the Members shall be accountable to the Chairperson for discharging their duties. </w:t>
            </w:r>
            <w:r w:rsidRPr="00520587">
              <w:rPr>
                <w:rFonts w:ascii="Garamond" w:hAnsi="Garamond" w:cs="TimesNewRoman"/>
                <w:i/>
                <w:iCs/>
                <w:kern w:val="0"/>
                <w:sz w:val="18"/>
                <w:szCs w:val="18"/>
              </w:rPr>
              <w:t>See</w:t>
            </w:r>
            <w:r w:rsidRPr="00520587">
              <w:rPr>
                <w:rFonts w:ascii="Garamond" w:hAnsi="Garamond" w:cs="TimesNewRoman"/>
                <w:kern w:val="0"/>
                <w:sz w:val="18"/>
                <w:szCs w:val="18"/>
              </w:rPr>
              <w:t xml:space="preserve"> </w:t>
            </w:r>
            <w:r w:rsidRPr="00520587">
              <w:rPr>
                <w:rStyle w:val="hgkelc"/>
                <w:rFonts w:ascii="Garamond" w:hAnsi="Garamond"/>
                <w:sz w:val="18"/>
                <w:szCs w:val="18"/>
                <w:lang w:val="en"/>
              </w:rPr>
              <w:t>§38(1).</w:t>
            </w:r>
          </w:p>
          <w:p w14:paraId="69BB7D0A" w14:textId="121975B6" w:rsidR="009A20C8" w:rsidRPr="00520587" w:rsidRDefault="009A20C8" w:rsidP="009A20C8">
            <w:pPr>
              <w:cnfStyle w:val="000000000000" w:firstRow="0" w:lastRow="0" w:firstColumn="0" w:lastColumn="0" w:oddVBand="0" w:evenVBand="0" w:oddHBand="0" w:evenHBand="0" w:firstRowFirstColumn="0" w:firstRowLastColumn="0" w:lastRowFirstColumn="0" w:lastRowLastColumn="0"/>
              <w:rPr>
                <w:rFonts w:ascii="Garamond" w:hAnsi="Garamond"/>
                <w:sz w:val="18"/>
                <w:szCs w:val="18"/>
              </w:rPr>
            </w:pPr>
            <w:r w:rsidRPr="00520587">
              <w:rPr>
                <w:rFonts w:ascii="Garamond" w:hAnsi="Garamond"/>
                <w:sz w:val="18"/>
                <w:szCs w:val="18"/>
              </w:rPr>
              <w:t xml:space="preserve">The Commission may, subject to such conditions as may be specified by it, delegate any of its power to any of its officer. </w:t>
            </w:r>
            <w:r w:rsidRPr="00520587">
              <w:rPr>
                <w:rFonts w:ascii="Garamond" w:hAnsi="Garamond" w:cs="TimesNewRoman"/>
                <w:i/>
                <w:iCs/>
                <w:kern w:val="0"/>
                <w:sz w:val="18"/>
                <w:szCs w:val="18"/>
              </w:rPr>
              <w:t>See</w:t>
            </w:r>
            <w:r w:rsidRPr="00520587">
              <w:rPr>
                <w:rFonts w:ascii="Garamond" w:hAnsi="Garamond" w:cs="TimesNewRoman"/>
                <w:kern w:val="0"/>
                <w:sz w:val="18"/>
                <w:szCs w:val="18"/>
              </w:rPr>
              <w:t xml:space="preserve"> </w:t>
            </w:r>
            <w:r w:rsidRPr="00520587">
              <w:rPr>
                <w:rStyle w:val="hgkelc"/>
                <w:rFonts w:ascii="Garamond" w:hAnsi="Garamond"/>
                <w:sz w:val="18"/>
                <w:szCs w:val="18"/>
                <w:lang w:val="en"/>
              </w:rPr>
              <w:t>§38(2).</w:t>
            </w:r>
          </w:p>
        </w:tc>
      </w:tr>
    </w:tbl>
    <w:p w14:paraId="44C33138" w14:textId="77777777" w:rsidR="003B297B" w:rsidRDefault="003B297B"/>
    <w:sectPr w:rsidR="003B297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1F331B" w14:textId="77777777" w:rsidR="007C4481" w:rsidRDefault="007C4481" w:rsidP="009736E5">
      <w:pPr>
        <w:spacing w:after="0" w:line="240" w:lineRule="auto"/>
      </w:pPr>
      <w:r>
        <w:separator/>
      </w:r>
    </w:p>
  </w:endnote>
  <w:endnote w:type="continuationSeparator" w:id="0">
    <w:p w14:paraId="03D4124E" w14:textId="77777777" w:rsidR="007C4481" w:rsidRDefault="007C4481" w:rsidP="00973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aramond">
    <w:panose1 w:val="02020404030301010803"/>
    <w:charset w:val="00"/>
    <w:family w:val="roman"/>
    <w:pitch w:val="variable"/>
    <w:sig w:usb0="00000003" w:usb1="00000000" w:usb2="00000000" w:usb3="00000000" w:csb0="00000001" w:csb1="00000000"/>
  </w:font>
  <w:font w:name="Gungsuh">
    <w:panose1 w:val="02030600000101010101"/>
    <w:charset w:val="81"/>
    <w:family w:val="roman"/>
    <w:pitch w:val="variable"/>
    <w:sig w:usb0="00000001" w:usb1="09060000" w:usb2="00000010" w:usb3="00000000" w:csb0="00080000" w:csb1="00000000"/>
  </w:font>
  <w:font w:name="TimesNewRoman">
    <w:altName w:val="Times New Roman"/>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rinda">
    <w:panose1 w:val="020B0502040204020203"/>
    <w:charset w:val="00"/>
    <w:family w:val="swiss"/>
    <w:pitch w:val="variable"/>
    <w:sig w:usb0="0001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1C3405" w14:textId="77777777" w:rsidR="007C4481" w:rsidRDefault="007C4481" w:rsidP="009736E5">
      <w:pPr>
        <w:spacing w:after="0" w:line="240" w:lineRule="auto"/>
      </w:pPr>
      <w:r>
        <w:separator/>
      </w:r>
    </w:p>
  </w:footnote>
  <w:footnote w:type="continuationSeparator" w:id="0">
    <w:p w14:paraId="2DA04FDA" w14:textId="77777777" w:rsidR="007C4481" w:rsidRDefault="007C4481" w:rsidP="009736E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70F12"/>
    <w:multiLevelType w:val="hybridMultilevel"/>
    <w:tmpl w:val="43C67D5C"/>
    <w:lvl w:ilvl="0" w:tplc="3E2A3756">
      <w:start w:val="1"/>
      <w:numFmt w:val="bullet"/>
      <w:pStyle w:val="CustomStyle4"/>
      <w:lvlText w:val="o"/>
      <w:lvlJc w:val="left"/>
      <w:pPr>
        <w:ind w:left="-1440" w:hanging="360"/>
      </w:pPr>
      <w:rPr>
        <w:rFonts w:ascii="Courier New" w:hAnsi="Courier New" w:cs="Courier New"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0" w:hanging="360"/>
      </w:pPr>
      <w:rPr>
        <w:rFonts w:ascii="Wingdings" w:hAnsi="Wingdings" w:hint="default"/>
      </w:rPr>
    </w:lvl>
    <w:lvl w:ilvl="3" w:tplc="04090001" w:tentative="1">
      <w:start w:val="1"/>
      <w:numFmt w:val="bullet"/>
      <w:lvlText w:val=""/>
      <w:lvlJc w:val="left"/>
      <w:pPr>
        <w:ind w:left="720" w:hanging="360"/>
      </w:pPr>
      <w:rPr>
        <w:rFonts w:ascii="Symbol" w:hAnsi="Symbol" w:hint="default"/>
      </w:rPr>
    </w:lvl>
    <w:lvl w:ilvl="4" w:tplc="04090003" w:tentative="1">
      <w:start w:val="1"/>
      <w:numFmt w:val="bullet"/>
      <w:lvlText w:val="o"/>
      <w:lvlJc w:val="left"/>
      <w:pPr>
        <w:ind w:left="1440" w:hanging="360"/>
      </w:pPr>
      <w:rPr>
        <w:rFonts w:ascii="Courier New" w:hAnsi="Courier New" w:cs="Courier New" w:hint="default"/>
      </w:rPr>
    </w:lvl>
    <w:lvl w:ilvl="5" w:tplc="04090005" w:tentative="1">
      <w:start w:val="1"/>
      <w:numFmt w:val="bullet"/>
      <w:lvlText w:val=""/>
      <w:lvlJc w:val="left"/>
      <w:pPr>
        <w:ind w:left="2160" w:hanging="360"/>
      </w:pPr>
      <w:rPr>
        <w:rFonts w:ascii="Wingdings" w:hAnsi="Wingdings" w:hint="default"/>
      </w:rPr>
    </w:lvl>
    <w:lvl w:ilvl="6" w:tplc="04090001" w:tentative="1">
      <w:start w:val="1"/>
      <w:numFmt w:val="bullet"/>
      <w:lvlText w:val=""/>
      <w:lvlJc w:val="left"/>
      <w:pPr>
        <w:ind w:left="2880" w:hanging="360"/>
      </w:pPr>
      <w:rPr>
        <w:rFonts w:ascii="Symbol" w:hAnsi="Symbol" w:hint="default"/>
      </w:rPr>
    </w:lvl>
    <w:lvl w:ilvl="7" w:tplc="04090003" w:tentative="1">
      <w:start w:val="1"/>
      <w:numFmt w:val="bullet"/>
      <w:lvlText w:val="o"/>
      <w:lvlJc w:val="left"/>
      <w:pPr>
        <w:ind w:left="3600" w:hanging="360"/>
      </w:pPr>
      <w:rPr>
        <w:rFonts w:ascii="Courier New" w:hAnsi="Courier New" w:cs="Courier New" w:hint="default"/>
      </w:rPr>
    </w:lvl>
    <w:lvl w:ilvl="8" w:tplc="04090005" w:tentative="1">
      <w:start w:val="1"/>
      <w:numFmt w:val="bullet"/>
      <w:lvlText w:val=""/>
      <w:lvlJc w:val="left"/>
      <w:pPr>
        <w:ind w:left="4320" w:hanging="360"/>
      </w:pPr>
      <w:rPr>
        <w:rFonts w:ascii="Wingdings" w:hAnsi="Wingdings" w:hint="default"/>
      </w:rPr>
    </w:lvl>
  </w:abstractNum>
  <w:abstractNum w:abstractNumId="1" w15:restartNumberingAfterBreak="0">
    <w:nsid w:val="0782454D"/>
    <w:multiLevelType w:val="hybridMultilevel"/>
    <w:tmpl w:val="8E42F340"/>
    <w:lvl w:ilvl="0" w:tplc="53F8E3C0">
      <w:start w:val="1"/>
      <w:numFmt w:val="bullet"/>
      <w:lvlText w:val=""/>
      <w:lvlJc w:val="left"/>
      <w:pPr>
        <w:ind w:left="504" w:hanging="288"/>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FD7023"/>
    <w:multiLevelType w:val="hybridMultilevel"/>
    <w:tmpl w:val="BA780C4C"/>
    <w:lvl w:ilvl="0" w:tplc="879E2C72">
      <w:start w:val="1"/>
      <w:numFmt w:val="bullet"/>
      <w:lvlText w:val=""/>
      <w:lvlJc w:val="left"/>
      <w:pPr>
        <w:ind w:left="288" w:hanging="144"/>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4E7EBB"/>
    <w:multiLevelType w:val="hybridMultilevel"/>
    <w:tmpl w:val="DD7A42A6"/>
    <w:lvl w:ilvl="0" w:tplc="3BFA4C92">
      <w:start w:val="1"/>
      <w:numFmt w:val="bullet"/>
      <w:pStyle w:val="CustomStyle6"/>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7BB787E"/>
    <w:multiLevelType w:val="hybridMultilevel"/>
    <w:tmpl w:val="BCACA3DC"/>
    <w:lvl w:ilvl="0" w:tplc="8C76EC6C">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5" w15:restartNumberingAfterBreak="0">
    <w:nsid w:val="3D1A5E87"/>
    <w:multiLevelType w:val="hybridMultilevel"/>
    <w:tmpl w:val="4474887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157875"/>
    <w:multiLevelType w:val="hybridMultilevel"/>
    <w:tmpl w:val="C0C272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5627AFB"/>
    <w:multiLevelType w:val="hybridMultilevel"/>
    <w:tmpl w:val="BFE67196"/>
    <w:lvl w:ilvl="0" w:tplc="5C08F880">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abstractNum w:abstractNumId="8" w15:restartNumberingAfterBreak="0">
    <w:nsid w:val="55DE7287"/>
    <w:multiLevelType w:val="hybridMultilevel"/>
    <w:tmpl w:val="9410B536"/>
    <w:lvl w:ilvl="0" w:tplc="FFFFFFFF">
      <w:start w:val="1"/>
      <w:numFmt w:val="lowerLetter"/>
      <w:lvlText w:val="%1."/>
      <w:lvlJc w:val="left"/>
      <w:pPr>
        <w:ind w:left="432" w:firstLine="18"/>
      </w:pPr>
      <w:rPr>
        <w:rFonts w:hint="default"/>
      </w:rPr>
    </w:lvl>
    <w:lvl w:ilvl="1" w:tplc="FFFFFFFF" w:tentative="1">
      <w:start w:val="1"/>
      <w:numFmt w:val="lowerLetter"/>
      <w:lvlText w:val="%2."/>
      <w:lvlJc w:val="left"/>
      <w:pPr>
        <w:ind w:left="1728" w:hanging="360"/>
      </w:pPr>
    </w:lvl>
    <w:lvl w:ilvl="2" w:tplc="FFFFFFFF" w:tentative="1">
      <w:start w:val="1"/>
      <w:numFmt w:val="lowerRoman"/>
      <w:lvlText w:val="%3."/>
      <w:lvlJc w:val="right"/>
      <w:pPr>
        <w:ind w:left="2448" w:hanging="180"/>
      </w:pPr>
    </w:lvl>
    <w:lvl w:ilvl="3" w:tplc="FFFFFFFF" w:tentative="1">
      <w:start w:val="1"/>
      <w:numFmt w:val="decimal"/>
      <w:lvlText w:val="%4."/>
      <w:lvlJc w:val="left"/>
      <w:pPr>
        <w:ind w:left="3168" w:hanging="360"/>
      </w:pPr>
    </w:lvl>
    <w:lvl w:ilvl="4" w:tplc="FFFFFFFF" w:tentative="1">
      <w:start w:val="1"/>
      <w:numFmt w:val="lowerLetter"/>
      <w:lvlText w:val="%5."/>
      <w:lvlJc w:val="left"/>
      <w:pPr>
        <w:ind w:left="3888" w:hanging="360"/>
      </w:pPr>
    </w:lvl>
    <w:lvl w:ilvl="5" w:tplc="FFFFFFFF" w:tentative="1">
      <w:start w:val="1"/>
      <w:numFmt w:val="lowerRoman"/>
      <w:lvlText w:val="%6."/>
      <w:lvlJc w:val="right"/>
      <w:pPr>
        <w:ind w:left="4608" w:hanging="180"/>
      </w:pPr>
    </w:lvl>
    <w:lvl w:ilvl="6" w:tplc="FFFFFFFF" w:tentative="1">
      <w:start w:val="1"/>
      <w:numFmt w:val="decimal"/>
      <w:lvlText w:val="%7."/>
      <w:lvlJc w:val="left"/>
      <w:pPr>
        <w:ind w:left="5328" w:hanging="360"/>
      </w:pPr>
    </w:lvl>
    <w:lvl w:ilvl="7" w:tplc="FFFFFFFF" w:tentative="1">
      <w:start w:val="1"/>
      <w:numFmt w:val="lowerLetter"/>
      <w:lvlText w:val="%8."/>
      <w:lvlJc w:val="left"/>
      <w:pPr>
        <w:ind w:left="6048" w:hanging="360"/>
      </w:pPr>
    </w:lvl>
    <w:lvl w:ilvl="8" w:tplc="FFFFFFFF" w:tentative="1">
      <w:start w:val="1"/>
      <w:numFmt w:val="lowerRoman"/>
      <w:lvlText w:val="%9."/>
      <w:lvlJc w:val="right"/>
      <w:pPr>
        <w:ind w:left="6768" w:hanging="180"/>
      </w:pPr>
    </w:lvl>
  </w:abstractNum>
  <w:abstractNum w:abstractNumId="9" w15:restartNumberingAfterBreak="0">
    <w:nsid w:val="5FC667FE"/>
    <w:multiLevelType w:val="hybridMultilevel"/>
    <w:tmpl w:val="43DCD2B0"/>
    <w:lvl w:ilvl="0" w:tplc="24009418">
      <w:start w:val="1"/>
      <w:numFmt w:val="bullet"/>
      <w:pStyle w:val="CustomStyle5"/>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51A5BC4"/>
    <w:multiLevelType w:val="hybridMultilevel"/>
    <w:tmpl w:val="002611C8"/>
    <w:lvl w:ilvl="0" w:tplc="FFFFFFFF">
      <w:start w:val="1"/>
      <w:numFmt w:val="lowerLetter"/>
      <w:lvlText w:val="%1."/>
      <w:lvlJc w:val="left"/>
      <w:pPr>
        <w:ind w:left="612" w:hanging="324"/>
      </w:pPr>
      <w:rPr>
        <w:rFonts w:hint="default"/>
      </w:rPr>
    </w:lvl>
    <w:lvl w:ilvl="1" w:tplc="FFFFFFFF" w:tentative="1">
      <w:start w:val="1"/>
      <w:numFmt w:val="lowerLetter"/>
      <w:lvlText w:val="%2."/>
      <w:lvlJc w:val="left"/>
      <w:pPr>
        <w:ind w:left="1484" w:hanging="360"/>
      </w:pPr>
    </w:lvl>
    <w:lvl w:ilvl="2" w:tplc="FFFFFFFF" w:tentative="1">
      <w:start w:val="1"/>
      <w:numFmt w:val="lowerRoman"/>
      <w:lvlText w:val="%3."/>
      <w:lvlJc w:val="right"/>
      <w:pPr>
        <w:ind w:left="2204" w:hanging="180"/>
      </w:pPr>
    </w:lvl>
    <w:lvl w:ilvl="3" w:tplc="FFFFFFFF" w:tentative="1">
      <w:start w:val="1"/>
      <w:numFmt w:val="decimal"/>
      <w:lvlText w:val="%4."/>
      <w:lvlJc w:val="left"/>
      <w:pPr>
        <w:ind w:left="2924" w:hanging="360"/>
      </w:pPr>
    </w:lvl>
    <w:lvl w:ilvl="4" w:tplc="FFFFFFFF" w:tentative="1">
      <w:start w:val="1"/>
      <w:numFmt w:val="lowerLetter"/>
      <w:lvlText w:val="%5."/>
      <w:lvlJc w:val="left"/>
      <w:pPr>
        <w:ind w:left="3644" w:hanging="360"/>
      </w:pPr>
    </w:lvl>
    <w:lvl w:ilvl="5" w:tplc="FFFFFFFF" w:tentative="1">
      <w:start w:val="1"/>
      <w:numFmt w:val="lowerRoman"/>
      <w:lvlText w:val="%6."/>
      <w:lvlJc w:val="right"/>
      <w:pPr>
        <w:ind w:left="4364" w:hanging="180"/>
      </w:pPr>
    </w:lvl>
    <w:lvl w:ilvl="6" w:tplc="FFFFFFFF" w:tentative="1">
      <w:start w:val="1"/>
      <w:numFmt w:val="decimal"/>
      <w:lvlText w:val="%7."/>
      <w:lvlJc w:val="left"/>
      <w:pPr>
        <w:ind w:left="5084" w:hanging="360"/>
      </w:pPr>
    </w:lvl>
    <w:lvl w:ilvl="7" w:tplc="FFFFFFFF" w:tentative="1">
      <w:start w:val="1"/>
      <w:numFmt w:val="lowerLetter"/>
      <w:lvlText w:val="%8."/>
      <w:lvlJc w:val="left"/>
      <w:pPr>
        <w:ind w:left="5804" w:hanging="360"/>
      </w:pPr>
    </w:lvl>
    <w:lvl w:ilvl="8" w:tplc="FFFFFFFF" w:tentative="1">
      <w:start w:val="1"/>
      <w:numFmt w:val="lowerRoman"/>
      <w:lvlText w:val="%9."/>
      <w:lvlJc w:val="right"/>
      <w:pPr>
        <w:ind w:left="6524" w:hanging="180"/>
      </w:pPr>
    </w:lvl>
  </w:abstractNum>
  <w:abstractNum w:abstractNumId="11" w15:restartNumberingAfterBreak="0">
    <w:nsid w:val="65F47D74"/>
    <w:multiLevelType w:val="hybridMultilevel"/>
    <w:tmpl w:val="002611C8"/>
    <w:lvl w:ilvl="0" w:tplc="4C90C704">
      <w:start w:val="1"/>
      <w:numFmt w:val="lowerLetter"/>
      <w:lvlText w:val="%1."/>
      <w:lvlJc w:val="left"/>
      <w:pPr>
        <w:ind w:left="612" w:hanging="324"/>
      </w:pPr>
      <w:rPr>
        <w:rFonts w:hint="default"/>
      </w:rPr>
    </w:lvl>
    <w:lvl w:ilvl="1" w:tplc="04090019" w:tentative="1">
      <w:start w:val="1"/>
      <w:numFmt w:val="lowerLetter"/>
      <w:lvlText w:val="%2."/>
      <w:lvlJc w:val="left"/>
      <w:pPr>
        <w:ind w:left="1484" w:hanging="360"/>
      </w:pPr>
    </w:lvl>
    <w:lvl w:ilvl="2" w:tplc="0409001B" w:tentative="1">
      <w:start w:val="1"/>
      <w:numFmt w:val="lowerRoman"/>
      <w:lvlText w:val="%3."/>
      <w:lvlJc w:val="right"/>
      <w:pPr>
        <w:ind w:left="2204" w:hanging="180"/>
      </w:pPr>
    </w:lvl>
    <w:lvl w:ilvl="3" w:tplc="0409000F" w:tentative="1">
      <w:start w:val="1"/>
      <w:numFmt w:val="decimal"/>
      <w:lvlText w:val="%4."/>
      <w:lvlJc w:val="left"/>
      <w:pPr>
        <w:ind w:left="2924" w:hanging="360"/>
      </w:pPr>
    </w:lvl>
    <w:lvl w:ilvl="4" w:tplc="04090019" w:tentative="1">
      <w:start w:val="1"/>
      <w:numFmt w:val="lowerLetter"/>
      <w:lvlText w:val="%5."/>
      <w:lvlJc w:val="left"/>
      <w:pPr>
        <w:ind w:left="3644" w:hanging="360"/>
      </w:pPr>
    </w:lvl>
    <w:lvl w:ilvl="5" w:tplc="0409001B" w:tentative="1">
      <w:start w:val="1"/>
      <w:numFmt w:val="lowerRoman"/>
      <w:lvlText w:val="%6."/>
      <w:lvlJc w:val="right"/>
      <w:pPr>
        <w:ind w:left="4364" w:hanging="180"/>
      </w:pPr>
    </w:lvl>
    <w:lvl w:ilvl="6" w:tplc="0409000F" w:tentative="1">
      <w:start w:val="1"/>
      <w:numFmt w:val="decimal"/>
      <w:lvlText w:val="%7."/>
      <w:lvlJc w:val="left"/>
      <w:pPr>
        <w:ind w:left="5084" w:hanging="360"/>
      </w:pPr>
    </w:lvl>
    <w:lvl w:ilvl="7" w:tplc="04090019" w:tentative="1">
      <w:start w:val="1"/>
      <w:numFmt w:val="lowerLetter"/>
      <w:lvlText w:val="%8."/>
      <w:lvlJc w:val="left"/>
      <w:pPr>
        <w:ind w:left="5804" w:hanging="360"/>
      </w:pPr>
    </w:lvl>
    <w:lvl w:ilvl="8" w:tplc="0409001B" w:tentative="1">
      <w:start w:val="1"/>
      <w:numFmt w:val="lowerRoman"/>
      <w:lvlText w:val="%9."/>
      <w:lvlJc w:val="right"/>
      <w:pPr>
        <w:ind w:left="6524" w:hanging="180"/>
      </w:pPr>
    </w:lvl>
  </w:abstractNum>
  <w:abstractNum w:abstractNumId="12" w15:restartNumberingAfterBreak="0">
    <w:nsid w:val="72C84385"/>
    <w:multiLevelType w:val="hybridMultilevel"/>
    <w:tmpl w:val="DDD616EE"/>
    <w:lvl w:ilvl="0" w:tplc="DBBA14A0">
      <w:start w:val="1"/>
      <w:numFmt w:val="bullet"/>
      <w:lvlText w:val=""/>
      <w:lvlJc w:val="left"/>
      <w:pPr>
        <w:ind w:left="1150" w:hanging="360"/>
      </w:pPr>
      <w:rPr>
        <w:rFonts w:ascii="Wingdings" w:hAnsi="Wingdings" w:hint="default"/>
      </w:rPr>
    </w:lvl>
    <w:lvl w:ilvl="1" w:tplc="04090003" w:tentative="1">
      <w:start w:val="1"/>
      <w:numFmt w:val="bullet"/>
      <w:lvlText w:val="o"/>
      <w:lvlJc w:val="left"/>
      <w:pPr>
        <w:ind w:left="2090" w:hanging="360"/>
      </w:pPr>
      <w:rPr>
        <w:rFonts w:ascii="Courier New" w:hAnsi="Courier New" w:cs="Courier New" w:hint="default"/>
      </w:rPr>
    </w:lvl>
    <w:lvl w:ilvl="2" w:tplc="04090005" w:tentative="1">
      <w:start w:val="1"/>
      <w:numFmt w:val="bullet"/>
      <w:lvlText w:val=""/>
      <w:lvlJc w:val="left"/>
      <w:pPr>
        <w:ind w:left="2810" w:hanging="360"/>
      </w:pPr>
      <w:rPr>
        <w:rFonts w:ascii="Wingdings" w:hAnsi="Wingdings" w:hint="default"/>
      </w:rPr>
    </w:lvl>
    <w:lvl w:ilvl="3" w:tplc="04090001" w:tentative="1">
      <w:start w:val="1"/>
      <w:numFmt w:val="bullet"/>
      <w:lvlText w:val=""/>
      <w:lvlJc w:val="left"/>
      <w:pPr>
        <w:ind w:left="3530" w:hanging="360"/>
      </w:pPr>
      <w:rPr>
        <w:rFonts w:ascii="Symbol" w:hAnsi="Symbol" w:hint="default"/>
      </w:rPr>
    </w:lvl>
    <w:lvl w:ilvl="4" w:tplc="04090003" w:tentative="1">
      <w:start w:val="1"/>
      <w:numFmt w:val="bullet"/>
      <w:lvlText w:val="o"/>
      <w:lvlJc w:val="left"/>
      <w:pPr>
        <w:ind w:left="4250" w:hanging="360"/>
      </w:pPr>
      <w:rPr>
        <w:rFonts w:ascii="Courier New" w:hAnsi="Courier New" w:cs="Courier New" w:hint="default"/>
      </w:rPr>
    </w:lvl>
    <w:lvl w:ilvl="5" w:tplc="04090005" w:tentative="1">
      <w:start w:val="1"/>
      <w:numFmt w:val="bullet"/>
      <w:lvlText w:val=""/>
      <w:lvlJc w:val="left"/>
      <w:pPr>
        <w:ind w:left="4970" w:hanging="360"/>
      </w:pPr>
      <w:rPr>
        <w:rFonts w:ascii="Wingdings" w:hAnsi="Wingdings" w:hint="default"/>
      </w:rPr>
    </w:lvl>
    <w:lvl w:ilvl="6" w:tplc="04090001" w:tentative="1">
      <w:start w:val="1"/>
      <w:numFmt w:val="bullet"/>
      <w:lvlText w:val=""/>
      <w:lvlJc w:val="left"/>
      <w:pPr>
        <w:ind w:left="5690" w:hanging="360"/>
      </w:pPr>
      <w:rPr>
        <w:rFonts w:ascii="Symbol" w:hAnsi="Symbol" w:hint="default"/>
      </w:rPr>
    </w:lvl>
    <w:lvl w:ilvl="7" w:tplc="04090003" w:tentative="1">
      <w:start w:val="1"/>
      <w:numFmt w:val="bullet"/>
      <w:lvlText w:val="o"/>
      <w:lvlJc w:val="left"/>
      <w:pPr>
        <w:ind w:left="6410" w:hanging="360"/>
      </w:pPr>
      <w:rPr>
        <w:rFonts w:ascii="Courier New" w:hAnsi="Courier New" w:cs="Courier New" w:hint="default"/>
      </w:rPr>
    </w:lvl>
    <w:lvl w:ilvl="8" w:tplc="04090005" w:tentative="1">
      <w:start w:val="1"/>
      <w:numFmt w:val="bullet"/>
      <w:lvlText w:val=""/>
      <w:lvlJc w:val="left"/>
      <w:pPr>
        <w:ind w:left="7130" w:hanging="360"/>
      </w:pPr>
      <w:rPr>
        <w:rFonts w:ascii="Wingdings" w:hAnsi="Wingdings" w:hint="default"/>
      </w:rPr>
    </w:lvl>
  </w:abstractNum>
  <w:num w:numId="1">
    <w:abstractNumId w:val="0"/>
  </w:num>
  <w:num w:numId="2">
    <w:abstractNumId w:val="9"/>
  </w:num>
  <w:num w:numId="3">
    <w:abstractNumId w:val="3"/>
  </w:num>
  <w:num w:numId="4">
    <w:abstractNumId w:val="2"/>
  </w:num>
  <w:num w:numId="5">
    <w:abstractNumId w:val="1"/>
  </w:num>
  <w:num w:numId="6">
    <w:abstractNumId w:val="5"/>
  </w:num>
  <w:num w:numId="7">
    <w:abstractNumId w:val="4"/>
  </w:num>
  <w:num w:numId="8">
    <w:abstractNumId w:val="7"/>
  </w:num>
  <w:num w:numId="9">
    <w:abstractNumId w:val="12"/>
  </w:num>
  <w:num w:numId="10">
    <w:abstractNumId w:val="8"/>
  </w:num>
  <w:num w:numId="11">
    <w:abstractNumId w:val="11"/>
  </w:num>
  <w:num w:numId="12">
    <w:abstractNumId w:val="10"/>
  </w:num>
  <w:num w:numId="1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AE2"/>
    <w:rsid w:val="00001C56"/>
    <w:rsid w:val="00001F49"/>
    <w:rsid w:val="000025B2"/>
    <w:rsid w:val="00003660"/>
    <w:rsid w:val="0000375C"/>
    <w:rsid w:val="000041FF"/>
    <w:rsid w:val="00004268"/>
    <w:rsid w:val="00010013"/>
    <w:rsid w:val="00014819"/>
    <w:rsid w:val="00020065"/>
    <w:rsid w:val="000247A6"/>
    <w:rsid w:val="00030349"/>
    <w:rsid w:val="00030E43"/>
    <w:rsid w:val="000335D7"/>
    <w:rsid w:val="00033B70"/>
    <w:rsid w:val="00033F3D"/>
    <w:rsid w:val="00036A84"/>
    <w:rsid w:val="000370F8"/>
    <w:rsid w:val="00040D01"/>
    <w:rsid w:val="00046DF0"/>
    <w:rsid w:val="000473F2"/>
    <w:rsid w:val="00047E61"/>
    <w:rsid w:val="00047EB9"/>
    <w:rsid w:val="0005000E"/>
    <w:rsid w:val="00050DE1"/>
    <w:rsid w:val="000519F7"/>
    <w:rsid w:val="000525EA"/>
    <w:rsid w:val="000526B8"/>
    <w:rsid w:val="00061F21"/>
    <w:rsid w:val="00063CAA"/>
    <w:rsid w:val="00067196"/>
    <w:rsid w:val="000704DB"/>
    <w:rsid w:val="00074390"/>
    <w:rsid w:val="0007518A"/>
    <w:rsid w:val="00077229"/>
    <w:rsid w:val="00077968"/>
    <w:rsid w:val="00083090"/>
    <w:rsid w:val="00085ABA"/>
    <w:rsid w:val="00086C0A"/>
    <w:rsid w:val="00091217"/>
    <w:rsid w:val="000927FE"/>
    <w:rsid w:val="00094C46"/>
    <w:rsid w:val="000A2632"/>
    <w:rsid w:val="000A40CC"/>
    <w:rsid w:val="000B3E79"/>
    <w:rsid w:val="000B4508"/>
    <w:rsid w:val="000B740A"/>
    <w:rsid w:val="000B7450"/>
    <w:rsid w:val="000C0E40"/>
    <w:rsid w:val="000C12BC"/>
    <w:rsid w:val="000C1AC9"/>
    <w:rsid w:val="000C24AC"/>
    <w:rsid w:val="000C298F"/>
    <w:rsid w:val="000C3C59"/>
    <w:rsid w:val="000C40D9"/>
    <w:rsid w:val="000C53AC"/>
    <w:rsid w:val="000C5908"/>
    <w:rsid w:val="000C5A1E"/>
    <w:rsid w:val="000C73D6"/>
    <w:rsid w:val="000D148D"/>
    <w:rsid w:val="000D386A"/>
    <w:rsid w:val="000D498A"/>
    <w:rsid w:val="000E390B"/>
    <w:rsid w:val="000E7BFD"/>
    <w:rsid w:val="000E7F04"/>
    <w:rsid w:val="000F4DA0"/>
    <w:rsid w:val="000F5A3B"/>
    <w:rsid w:val="000F741F"/>
    <w:rsid w:val="00100E6B"/>
    <w:rsid w:val="00103E74"/>
    <w:rsid w:val="0010457C"/>
    <w:rsid w:val="00105CCD"/>
    <w:rsid w:val="00110325"/>
    <w:rsid w:val="00110E70"/>
    <w:rsid w:val="0011509B"/>
    <w:rsid w:val="00115358"/>
    <w:rsid w:val="00116230"/>
    <w:rsid w:val="001163AC"/>
    <w:rsid w:val="001218CE"/>
    <w:rsid w:val="00122690"/>
    <w:rsid w:val="00123C11"/>
    <w:rsid w:val="00130D1D"/>
    <w:rsid w:val="00135549"/>
    <w:rsid w:val="00142B9D"/>
    <w:rsid w:val="00143134"/>
    <w:rsid w:val="0014407C"/>
    <w:rsid w:val="00150E18"/>
    <w:rsid w:val="00151C91"/>
    <w:rsid w:val="00153DE4"/>
    <w:rsid w:val="00155CFC"/>
    <w:rsid w:val="00156BB2"/>
    <w:rsid w:val="00157E85"/>
    <w:rsid w:val="00160E9F"/>
    <w:rsid w:val="00165457"/>
    <w:rsid w:val="001655BC"/>
    <w:rsid w:val="0016613D"/>
    <w:rsid w:val="001700A4"/>
    <w:rsid w:val="00171553"/>
    <w:rsid w:val="00172752"/>
    <w:rsid w:val="001732D4"/>
    <w:rsid w:val="0017704C"/>
    <w:rsid w:val="0017716B"/>
    <w:rsid w:val="00180366"/>
    <w:rsid w:val="00181889"/>
    <w:rsid w:val="00181903"/>
    <w:rsid w:val="00182018"/>
    <w:rsid w:val="00182390"/>
    <w:rsid w:val="001840D2"/>
    <w:rsid w:val="00187C97"/>
    <w:rsid w:val="001909F7"/>
    <w:rsid w:val="00190CAD"/>
    <w:rsid w:val="001918EA"/>
    <w:rsid w:val="00192587"/>
    <w:rsid w:val="00192DEA"/>
    <w:rsid w:val="00192F35"/>
    <w:rsid w:val="00197285"/>
    <w:rsid w:val="00197718"/>
    <w:rsid w:val="001A28AD"/>
    <w:rsid w:val="001A44E6"/>
    <w:rsid w:val="001A7DB6"/>
    <w:rsid w:val="001B1FBC"/>
    <w:rsid w:val="001B29B3"/>
    <w:rsid w:val="001B4E1B"/>
    <w:rsid w:val="001B56D0"/>
    <w:rsid w:val="001B592A"/>
    <w:rsid w:val="001C0C70"/>
    <w:rsid w:val="001C2A31"/>
    <w:rsid w:val="001C2EC5"/>
    <w:rsid w:val="001C6535"/>
    <w:rsid w:val="001C7EF8"/>
    <w:rsid w:val="001D75A1"/>
    <w:rsid w:val="001E0600"/>
    <w:rsid w:val="001E1FC0"/>
    <w:rsid w:val="001E402D"/>
    <w:rsid w:val="001E478F"/>
    <w:rsid w:val="001E480F"/>
    <w:rsid w:val="001E4B56"/>
    <w:rsid w:val="001E6763"/>
    <w:rsid w:val="001F0D19"/>
    <w:rsid w:val="001F1D2C"/>
    <w:rsid w:val="001F29AC"/>
    <w:rsid w:val="001F2A25"/>
    <w:rsid w:val="001F3875"/>
    <w:rsid w:val="001F428E"/>
    <w:rsid w:val="001F6F74"/>
    <w:rsid w:val="002076AC"/>
    <w:rsid w:val="002118C9"/>
    <w:rsid w:val="0021488D"/>
    <w:rsid w:val="00215572"/>
    <w:rsid w:val="00216805"/>
    <w:rsid w:val="00216D0D"/>
    <w:rsid w:val="00221AB1"/>
    <w:rsid w:val="0022345B"/>
    <w:rsid w:val="002249EA"/>
    <w:rsid w:val="002277B8"/>
    <w:rsid w:val="002334D5"/>
    <w:rsid w:val="00233E5B"/>
    <w:rsid w:val="00234561"/>
    <w:rsid w:val="00234D08"/>
    <w:rsid w:val="00236C87"/>
    <w:rsid w:val="002407D8"/>
    <w:rsid w:val="00242815"/>
    <w:rsid w:val="00246E75"/>
    <w:rsid w:val="00250438"/>
    <w:rsid w:val="00250804"/>
    <w:rsid w:val="00253256"/>
    <w:rsid w:val="00255CF0"/>
    <w:rsid w:val="00255DC2"/>
    <w:rsid w:val="002607A8"/>
    <w:rsid w:val="00261785"/>
    <w:rsid w:val="002621C7"/>
    <w:rsid w:val="00266BF7"/>
    <w:rsid w:val="002671BE"/>
    <w:rsid w:val="00273A01"/>
    <w:rsid w:val="00280E29"/>
    <w:rsid w:val="00282480"/>
    <w:rsid w:val="00282B38"/>
    <w:rsid w:val="00282E3A"/>
    <w:rsid w:val="00282F98"/>
    <w:rsid w:val="00284520"/>
    <w:rsid w:val="00284C18"/>
    <w:rsid w:val="00284D57"/>
    <w:rsid w:val="00284EB1"/>
    <w:rsid w:val="0028666C"/>
    <w:rsid w:val="002874D1"/>
    <w:rsid w:val="00291250"/>
    <w:rsid w:val="0029161B"/>
    <w:rsid w:val="002920A4"/>
    <w:rsid w:val="00294A42"/>
    <w:rsid w:val="00295C64"/>
    <w:rsid w:val="00296E34"/>
    <w:rsid w:val="002A0BC5"/>
    <w:rsid w:val="002A159E"/>
    <w:rsid w:val="002A2556"/>
    <w:rsid w:val="002A3ABA"/>
    <w:rsid w:val="002A3D80"/>
    <w:rsid w:val="002A5CC2"/>
    <w:rsid w:val="002B1F9F"/>
    <w:rsid w:val="002B21D7"/>
    <w:rsid w:val="002B73CD"/>
    <w:rsid w:val="002C369F"/>
    <w:rsid w:val="002C42C7"/>
    <w:rsid w:val="002D1D86"/>
    <w:rsid w:val="002D25FF"/>
    <w:rsid w:val="002D66E6"/>
    <w:rsid w:val="002D68F8"/>
    <w:rsid w:val="002E1AD4"/>
    <w:rsid w:val="002E3291"/>
    <w:rsid w:val="002E3619"/>
    <w:rsid w:val="002E40EE"/>
    <w:rsid w:val="002E498B"/>
    <w:rsid w:val="002E6961"/>
    <w:rsid w:val="002F092A"/>
    <w:rsid w:val="002F1236"/>
    <w:rsid w:val="002F24C0"/>
    <w:rsid w:val="002F2A63"/>
    <w:rsid w:val="002F622C"/>
    <w:rsid w:val="002F62A5"/>
    <w:rsid w:val="002F6409"/>
    <w:rsid w:val="002F764A"/>
    <w:rsid w:val="003021BA"/>
    <w:rsid w:val="003027E8"/>
    <w:rsid w:val="00304CD7"/>
    <w:rsid w:val="0030539A"/>
    <w:rsid w:val="0030610A"/>
    <w:rsid w:val="00306130"/>
    <w:rsid w:val="0030675F"/>
    <w:rsid w:val="00311391"/>
    <w:rsid w:val="00312645"/>
    <w:rsid w:val="00316733"/>
    <w:rsid w:val="00321D20"/>
    <w:rsid w:val="00322AAC"/>
    <w:rsid w:val="00322BEE"/>
    <w:rsid w:val="00323473"/>
    <w:rsid w:val="0032598C"/>
    <w:rsid w:val="0032634B"/>
    <w:rsid w:val="003273F9"/>
    <w:rsid w:val="0033054F"/>
    <w:rsid w:val="00330B5B"/>
    <w:rsid w:val="00332BBC"/>
    <w:rsid w:val="00333FA6"/>
    <w:rsid w:val="003346A3"/>
    <w:rsid w:val="00335300"/>
    <w:rsid w:val="00336E21"/>
    <w:rsid w:val="00336EFC"/>
    <w:rsid w:val="00340D62"/>
    <w:rsid w:val="00342D61"/>
    <w:rsid w:val="00344743"/>
    <w:rsid w:val="00344E30"/>
    <w:rsid w:val="00352EB1"/>
    <w:rsid w:val="00353F79"/>
    <w:rsid w:val="00354384"/>
    <w:rsid w:val="003549F5"/>
    <w:rsid w:val="0035631E"/>
    <w:rsid w:val="0036072E"/>
    <w:rsid w:val="00362B28"/>
    <w:rsid w:val="00364288"/>
    <w:rsid w:val="00364F09"/>
    <w:rsid w:val="003665A2"/>
    <w:rsid w:val="00367E1B"/>
    <w:rsid w:val="0037015E"/>
    <w:rsid w:val="00370C66"/>
    <w:rsid w:val="00371D25"/>
    <w:rsid w:val="00372F92"/>
    <w:rsid w:val="003777E5"/>
    <w:rsid w:val="003805DF"/>
    <w:rsid w:val="00382AF6"/>
    <w:rsid w:val="00390F2A"/>
    <w:rsid w:val="00396370"/>
    <w:rsid w:val="003975F4"/>
    <w:rsid w:val="003A1111"/>
    <w:rsid w:val="003A11D4"/>
    <w:rsid w:val="003A1447"/>
    <w:rsid w:val="003B297B"/>
    <w:rsid w:val="003B541C"/>
    <w:rsid w:val="003B56AB"/>
    <w:rsid w:val="003B606C"/>
    <w:rsid w:val="003C27FE"/>
    <w:rsid w:val="003C44A1"/>
    <w:rsid w:val="003C4B61"/>
    <w:rsid w:val="003C6B5D"/>
    <w:rsid w:val="003D0C90"/>
    <w:rsid w:val="003D1CA6"/>
    <w:rsid w:val="003D396E"/>
    <w:rsid w:val="003E4636"/>
    <w:rsid w:val="003E6349"/>
    <w:rsid w:val="003F1837"/>
    <w:rsid w:val="003F1C41"/>
    <w:rsid w:val="003F6742"/>
    <w:rsid w:val="003F6A6D"/>
    <w:rsid w:val="00400750"/>
    <w:rsid w:val="004009AD"/>
    <w:rsid w:val="0041096C"/>
    <w:rsid w:val="00417F55"/>
    <w:rsid w:val="0042236C"/>
    <w:rsid w:val="0042568E"/>
    <w:rsid w:val="00425EDC"/>
    <w:rsid w:val="00426655"/>
    <w:rsid w:val="00431552"/>
    <w:rsid w:val="004324E1"/>
    <w:rsid w:val="004327A9"/>
    <w:rsid w:val="004359A0"/>
    <w:rsid w:val="004366E1"/>
    <w:rsid w:val="00437AB2"/>
    <w:rsid w:val="00440231"/>
    <w:rsid w:val="00440A18"/>
    <w:rsid w:val="004439BC"/>
    <w:rsid w:val="00445631"/>
    <w:rsid w:val="00445CC8"/>
    <w:rsid w:val="00446434"/>
    <w:rsid w:val="0044703E"/>
    <w:rsid w:val="004502F2"/>
    <w:rsid w:val="00450B50"/>
    <w:rsid w:val="00452A58"/>
    <w:rsid w:val="00457124"/>
    <w:rsid w:val="00457D5A"/>
    <w:rsid w:val="00460206"/>
    <w:rsid w:val="004604EF"/>
    <w:rsid w:val="00462A0B"/>
    <w:rsid w:val="00463573"/>
    <w:rsid w:val="00465F17"/>
    <w:rsid w:val="004674EA"/>
    <w:rsid w:val="00467E2A"/>
    <w:rsid w:val="0047056D"/>
    <w:rsid w:val="00470BC6"/>
    <w:rsid w:val="00471D6B"/>
    <w:rsid w:val="00473540"/>
    <w:rsid w:val="004763E4"/>
    <w:rsid w:val="00477068"/>
    <w:rsid w:val="00477A91"/>
    <w:rsid w:val="00477F65"/>
    <w:rsid w:val="00481CA1"/>
    <w:rsid w:val="0048229B"/>
    <w:rsid w:val="004828AE"/>
    <w:rsid w:val="00482AB9"/>
    <w:rsid w:val="0048310B"/>
    <w:rsid w:val="00485D28"/>
    <w:rsid w:val="00490934"/>
    <w:rsid w:val="00492451"/>
    <w:rsid w:val="004934A8"/>
    <w:rsid w:val="00496523"/>
    <w:rsid w:val="004A06ED"/>
    <w:rsid w:val="004A64B8"/>
    <w:rsid w:val="004A67DB"/>
    <w:rsid w:val="004A6811"/>
    <w:rsid w:val="004B2DA3"/>
    <w:rsid w:val="004B6C69"/>
    <w:rsid w:val="004B7C18"/>
    <w:rsid w:val="004C3AB0"/>
    <w:rsid w:val="004C4324"/>
    <w:rsid w:val="004C7361"/>
    <w:rsid w:val="004D1AE1"/>
    <w:rsid w:val="004D1B3B"/>
    <w:rsid w:val="004D27C0"/>
    <w:rsid w:val="004D5DCE"/>
    <w:rsid w:val="004D6690"/>
    <w:rsid w:val="004D674E"/>
    <w:rsid w:val="004D76B6"/>
    <w:rsid w:val="004E1624"/>
    <w:rsid w:val="004E2AD9"/>
    <w:rsid w:val="004E3415"/>
    <w:rsid w:val="004E39EE"/>
    <w:rsid w:val="004E3FC0"/>
    <w:rsid w:val="004E5691"/>
    <w:rsid w:val="004E5731"/>
    <w:rsid w:val="004E7257"/>
    <w:rsid w:val="004F0032"/>
    <w:rsid w:val="004F0183"/>
    <w:rsid w:val="0050195D"/>
    <w:rsid w:val="00503901"/>
    <w:rsid w:val="00503F64"/>
    <w:rsid w:val="005044E4"/>
    <w:rsid w:val="00507594"/>
    <w:rsid w:val="0051233F"/>
    <w:rsid w:val="005140F1"/>
    <w:rsid w:val="00514AA5"/>
    <w:rsid w:val="00515FA5"/>
    <w:rsid w:val="00517BEE"/>
    <w:rsid w:val="00517F4D"/>
    <w:rsid w:val="00520587"/>
    <w:rsid w:val="0052405E"/>
    <w:rsid w:val="00531758"/>
    <w:rsid w:val="00533CCF"/>
    <w:rsid w:val="00533FFA"/>
    <w:rsid w:val="00536A4F"/>
    <w:rsid w:val="0053768D"/>
    <w:rsid w:val="005426E6"/>
    <w:rsid w:val="0054282D"/>
    <w:rsid w:val="00542931"/>
    <w:rsid w:val="00542B62"/>
    <w:rsid w:val="0054633F"/>
    <w:rsid w:val="0055274D"/>
    <w:rsid w:val="005533AE"/>
    <w:rsid w:val="00553A9A"/>
    <w:rsid w:val="00563BDE"/>
    <w:rsid w:val="0056560C"/>
    <w:rsid w:val="00571B53"/>
    <w:rsid w:val="005720BA"/>
    <w:rsid w:val="00572789"/>
    <w:rsid w:val="00573080"/>
    <w:rsid w:val="00581304"/>
    <w:rsid w:val="00583262"/>
    <w:rsid w:val="005856ED"/>
    <w:rsid w:val="005863DD"/>
    <w:rsid w:val="00587399"/>
    <w:rsid w:val="00592093"/>
    <w:rsid w:val="005A3000"/>
    <w:rsid w:val="005A6750"/>
    <w:rsid w:val="005A7813"/>
    <w:rsid w:val="005A78E0"/>
    <w:rsid w:val="005B55DB"/>
    <w:rsid w:val="005B72C3"/>
    <w:rsid w:val="005C3876"/>
    <w:rsid w:val="005C74AE"/>
    <w:rsid w:val="005D01E1"/>
    <w:rsid w:val="005D1A6A"/>
    <w:rsid w:val="005D1E34"/>
    <w:rsid w:val="005D23E7"/>
    <w:rsid w:val="005D3F35"/>
    <w:rsid w:val="005D3F74"/>
    <w:rsid w:val="005D4C1B"/>
    <w:rsid w:val="005D4C28"/>
    <w:rsid w:val="005E1229"/>
    <w:rsid w:val="005E160E"/>
    <w:rsid w:val="005E24A8"/>
    <w:rsid w:val="005E385D"/>
    <w:rsid w:val="005E3BFB"/>
    <w:rsid w:val="005E4D76"/>
    <w:rsid w:val="005F046C"/>
    <w:rsid w:val="005F390F"/>
    <w:rsid w:val="005F3C19"/>
    <w:rsid w:val="005F3F08"/>
    <w:rsid w:val="005F4643"/>
    <w:rsid w:val="005F7512"/>
    <w:rsid w:val="00600AC7"/>
    <w:rsid w:val="0060192F"/>
    <w:rsid w:val="0060527C"/>
    <w:rsid w:val="00606753"/>
    <w:rsid w:val="00611AEB"/>
    <w:rsid w:val="00612778"/>
    <w:rsid w:val="00612804"/>
    <w:rsid w:val="00612C96"/>
    <w:rsid w:val="00613D5A"/>
    <w:rsid w:val="00614807"/>
    <w:rsid w:val="00621E1C"/>
    <w:rsid w:val="0062299B"/>
    <w:rsid w:val="00624467"/>
    <w:rsid w:val="00625089"/>
    <w:rsid w:val="00625A3C"/>
    <w:rsid w:val="00627FA5"/>
    <w:rsid w:val="006311D7"/>
    <w:rsid w:val="0063315B"/>
    <w:rsid w:val="00633C89"/>
    <w:rsid w:val="00637446"/>
    <w:rsid w:val="00637F64"/>
    <w:rsid w:val="00640102"/>
    <w:rsid w:val="00642035"/>
    <w:rsid w:val="006455E8"/>
    <w:rsid w:val="0065350F"/>
    <w:rsid w:val="006548C5"/>
    <w:rsid w:val="006557AB"/>
    <w:rsid w:val="006616A0"/>
    <w:rsid w:val="00664D36"/>
    <w:rsid w:val="00665816"/>
    <w:rsid w:val="006672E6"/>
    <w:rsid w:val="00667D2A"/>
    <w:rsid w:val="006704DE"/>
    <w:rsid w:val="00670A0F"/>
    <w:rsid w:val="00671D39"/>
    <w:rsid w:val="006724DB"/>
    <w:rsid w:val="006747D3"/>
    <w:rsid w:val="006752B0"/>
    <w:rsid w:val="00677631"/>
    <w:rsid w:val="00683AF1"/>
    <w:rsid w:val="006844B6"/>
    <w:rsid w:val="0069062F"/>
    <w:rsid w:val="00692D2B"/>
    <w:rsid w:val="006975E5"/>
    <w:rsid w:val="006978AB"/>
    <w:rsid w:val="006A5600"/>
    <w:rsid w:val="006A6D3A"/>
    <w:rsid w:val="006B0099"/>
    <w:rsid w:val="006B069B"/>
    <w:rsid w:val="006B1EC9"/>
    <w:rsid w:val="006B2754"/>
    <w:rsid w:val="006C02AC"/>
    <w:rsid w:val="006C46B6"/>
    <w:rsid w:val="006D0098"/>
    <w:rsid w:val="006D0ADF"/>
    <w:rsid w:val="006D2437"/>
    <w:rsid w:val="006D40F5"/>
    <w:rsid w:val="006D4662"/>
    <w:rsid w:val="006D4B62"/>
    <w:rsid w:val="006D5FD5"/>
    <w:rsid w:val="006E08AD"/>
    <w:rsid w:val="006E1380"/>
    <w:rsid w:val="006E41A9"/>
    <w:rsid w:val="006E54F1"/>
    <w:rsid w:val="006E5765"/>
    <w:rsid w:val="006E5DA6"/>
    <w:rsid w:val="006F1352"/>
    <w:rsid w:val="006F6F8E"/>
    <w:rsid w:val="00701B44"/>
    <w:rsid w:val="007020DE"/>
    <w:rsid w:val="00702897"/>
    <w:rsid w:val="0070510D"/>
    <w:rsid w:val="00705C27"/>
    <w:rsid w:val="007068E1"/>
    <w:rsid w:val="00707FCF"/>
    <w:rsid w:val="007135EF"/>
    <w:rsid w:val="00713632"/>
    <w:rsid w:val="007205D0"/>
    <w:rsid w:val="00720CE0"/>
    <w:rsid w:val="00721B25"/>
    <w:rsid w:val="007274CA"/>
    <w:rsid w:val="00731BEF"/>
    <w:rsid w:val="00731D97"/>
    <w:rsid w:val="00732A84"/>
    <w:rsid w:val="007332D0"/>
    <w:rsid w:val="00736CCE"/>
    <w:rsid w:val="00737CC1"/>
    <w:rsid w:val="0074042A"/>
    <w:rsid w:val="007443E5"/>
    <w:rsid w:val="007447BA"/>
    <w:rsid w:val="007479B7"/>
    <w:rsid w:val="007513B9"/>
    <w:rsid w:val="00751A70"/>
    <w:rsid w:val="0075351B"/>
    <w:rsid w:val="007604AB"/>
    <w:rsid w:val="00762186"/>
    <w:rsid w:val="0076275A"/>
    <w:rsid w:val="00773190"/>
    <w:rsid w:val="00780B0C"/>
    <w:rsid w:val="00782DBF"/>
    <w:rsid w:val="007848C2"/>
    <w:rsid w:val="0079062C"/>
    <w:rsid w:val="00792E83"/>
    <w:rsid w:val="0079503A"/>
    <w:rsid w:val="00796D0C"/>
    <w:rsid w:val="00797743"/>
    <w:rsid w:val="007A16AB"/>
    <w:rsid w:val="007A3859"/>
    <w:rsid w:val="007A5EF3"/>
    <w:rsid w:val="007B04BE"/>
    <w:rsid w:val="007B0662"/>
    <w:rsid w:val="007B2245"/>
    <w:rsid w:val="007B31E7"/>
    <w:rsid w:val="007B42C2"/>
    <w:rsid w:val="007B46FE"/>
    <w:rsid w:val="007B56B4"/>
    <w:rsid w:val="007B5891"/>
    <w:rsid w:val="007B5F2D"/>
    <w:rsid w:val="007C0EF7"/>
    <w:rsid w:val="007C1C63"/>
    <w:rsid w:val="007C317F"/>
    <w:rsid w:val="007C3AE0"/>
    <w:rsid w:val="007C4481"/>
    <w:rsid w:val="007D7265"/>
    <w:rsid w:val="007E17C8"/>
    <w:rsid w:val="007E2110"/>
    <w:rsid w:val="007E38D2"/>
    <w:rsid w:val="007E4B0A"/>
    <w:rsid w:val="007F1F01"/>
    <w:rsid w:val="007F1FB5"/>
    <w:rsid w:val="007F368E"/>
    <w:rsid w:val="007F3F84"/>
    <w:rsid w:val="007F4DE4"/>
    <w:rsid w:val="00801963"/>
    <w:rsid w:val="00802C47"/>
    <w:rsid w:val="00810A23"/>
    <w:rsid w:val="008133F0"/>
    <w:rsid w:val="008139FD"/>
    <w:rsid w:val="00813EE9"/>
    <w:rsid w:val="00815261"/>
    <w:rsid w:val="0082293F"/>
    <w:rsid w:val="00823133"/>
    <w:rsid w:val="00824621"/>
    <w:rsid w:val="00824A9F"/>
    <w:rsid w:val="00826CED"/>
    <w:rsid w:val="00841995"/>
    <w:rsid w:val="00841E14"/>
    <w:rsid w:val="0084232B"/>
    <w:rsid w:val="00845A01"/>
    <w:rsid w:val="00846397"/>
    <w:rsid w:val="00846CDF"/>
    <w:rsid w:val="008478C9"/>
    <w:rsid w:val="008521CB"/>
    <w:rsid w:val="0085235B"/>
    <w:rsid w:val="00854DE1"/>
    <w:rsid w:val="0085727C"/>
    <w:rsid w:val="00857374"/>
    <w:rsid w:val="00861F3F"/>
    <w:rsid w:val="008663E1"/>
    <w:rsid w:val="00871589"/>
    <w:rsid w:val="00871EEA"/>
    <w:rsid w:val="008727EC"/>
    <w:rsid w:val="00874BCD"/>
    <w:rsid w:val="00875C2D"/>
    <w:rsid w:val="00880B4A"/>
    <w:rsid w:val="008813B1"/>
    <w:rsid w:val="00882DD6"/>
    <w:rsid w:val="00883CEF"/>
    <w:rsid w:val="00884EA7"/>
    <w:rsid w:val="008853FA"/>
    <w:rsid w:val="00886229"/>
    <w:rsid w:val="00891730"/>
    <w:rsid w:val="0089176A"/>
    <w:rsid w:val="00892D0F"/>
    <w:rsid w:val="008940A3"/>
    <w:rsid w:val="00894440"/>
    <w:rsid w:val="008946AC"/>
    <w:rsid w:val="008960A9"/>
    <w:rsid w:val="008964DB"/>
    <w:rsid w:val="008A2A15"/>
    <w:rsid w:val="008A2D56"/>
    <w:rsid w:val="008B15CD"/>
    <w:rsid w:val="008B5238"/>
    <w:rsid w:val="008B7148"/>
    <w:rsid w:val="008B7477"/>
    <w:rsid w:val="008C06D2"/>
    <w:rsid w:val="008C447C"/>
    <w:rsid w:val="008C484A"/>
    <w:rsid w:val="008C58D4"/>
    <w:rsid w:val="008C6D46"/>
    <w:rsid w:val="008C7899"/>
    <w:rsid w:val="008D2947"/>
    <w:rsid w:val="008D34BE"/>
    <w:rsid w:val="008D3E67"/>
    <w:rsid w:val="008D487A"/>
    <w:rsid w:val="008D488F"/>
    <w:rsid w:val="008D7A09"/>
    <w:rsid w:val="008E59B4"/>
    <w:rsid w:val="008E6128"/>
    <w:rsid w:val="008E734E"/>
    <w:rsid w:val="008E7D0D"/>
    <w:rsid w:val="008F368F"/>
    <w:rsid w:val="008F49EA"/>
    <w:rsid w:val="008F6CD3"/>
    <w:rsid w:val="009008F1"/>
    <w:rsid w:val="009040E4"/>
    <w:rsid w:val="00904DEB"/>
    <w:rsid w:val="00907695"/>
    <w:rsid w:val="009077AF"/>
    <w:rsid w:val="00910154"/>
    <w:rsid w:val="00910318"/>
    <w:rsid w:val="00910436"/>
    <w:rsid w:val="00910BF5"/>
    <w:rsid w:val="00910DA2"/>
    <w:rsid w:val="00914D2C"/>
    <w:rsid w:val="00917FAB"/>
    <w:rsid w:val="00920767"/>
    <w:rsid w:val="009216BA"/>
    <w:rsid w:val="009218FE"/>
    <w:rsid w:val="00924E7E"/>
    <w:rsid w:val="00925A56"/>
    <w:rsid w:val="00931585"/>
    <w:rsid w:val="00931B6E"/>
    <w:rsid w:val="00934DE2"/>
    <w:rsid w:val="009372B3"/>
    <w:rsid w:val="00941515"/>
    <w:rsid w:val="00941C8B"/>
    <w:rsid w:val="00946993"/>
    <w:rsid w:val="00946DDE"/>
    <w:rsid w:val="0095120D"/>
    <w:rsid w:val="00952102"/>
    <w:rsid w:val="009521E8"/>
    <w:rsid w:val="00952B77"/>
    <w:rsid w:val="00955763"/>
    <w:rsid w:val="00955AEA"/>
    <w:rsid w:val="0095797F"/>
    <w:rsid w:val="009604CA"/>
    <w:rsid w:val="00960953"/>
    <w:rsid w:val="00963A22"/>
    <w:rsid w:val="00963FBA"/>
    <w:rsid w:val="00970713"/>
    <w:rsid w:val="00971852"/>
    <w:rsid w:val="00972B13"/>
    <w:rsid w:val="009736E5"/>
    <w:rsid w:val="009743C5"/>
    <w:rsid w:val="0097631D"/>
    <w:rsid w:val="00982A2C"/>
    <w:rsid w:val="009848DE"/>
    <w:rsid w:val="00985A4F"/>
    <w:rsid w:val="00990D85"/>
    <w:rsid w:val="0099317D"/>
    <w:rsid w:val="0099446F"/>
    <w:rsid w:val="00994F23"/>
    <w:rsid w:val="00995ED4"/>
    <w:rsid w:val="00997B35"/>
    <w:rsid w:val="009A20C8"/>
    <w:rsid w:val="009A4AAD"/>
    <w:rsid w:val="009A61B4"/>
    <w:rsid w:val="009A66BC"/>
    <w:rsid w:val="009B0DF6"/>
    <w:rsid w:val="009C16F7"/>
    <w:rsid w:val="009C420B"/>
    <w:rsid w:val="009C5772"/>
    <w:rsid w:val="009D1A5F"/>
    <w:rsid w:val="009D2E83"/>
    <w:rsid w:val="009D6152"/>
    <w:rsid w:val="009D6D6A"/>
    <w:rsid w:val="009E560B"/>
    <w:rsid w:val="009E6B80"/>
    <w:rsid w:val="009F122F"/>
    <w:rsid w:val="009F151E"/>
    <w:rsid w:val="009F1A00"/>
    <w:rsid w:val="009F3253"/>
    <w:rsid w:val="00A046C8"/>
    <w:rsid w:val="00A05134"/>
    <w:rsid w:val="00A054D5"/>
    <w:rsid w:val="00A075D1"/>
    <w:rsid w:val="00A108A9"/>
    <w:rsid w:val="00A119E2"/>
    <w:rsid w:val="00A130DB"/>
    <w:rsid w:val="00A13B7A"/>
    <w:rsid w:val="00A15DD6"/>
    <w:rsid w:val="00A1665C"/>
    <w:rsid w:val="00A16A4C"/>
    <w:rsid w:val="00A21C3C"/>
    <w:rsid w:val="00A239BA"/>
    <w:rsid w:val="00A25664"/>
    <w:rsid w:val="00A30108"/>
    <w:rsid w:val="00A312A6"/>
    <w:rsid w:val="00A3130C"/>
    <w:rsid w:val="00A31C21"/>
    <w:rsid w:val="00A34A85"/>
    <w:rsid w:val="00A361D9"/>
    <w:rsid w:val="00A36D99"/>
    <w:rsid w:val="00A4011D"/>
    <w:rsid w:val="00A40DAD"/>
    <w:rsid w:val="00A423E5"/>
    <w:rsid w:val="00A4448F"/>
    <w:rsid w:val="00A45AE9"/>
    <w:rsid w:val="00A47F4C"/>
    <w:rsid w:val="00A53E22"/>
    <w:rsid w:val="00A558C3"/>
    <w:rsid w:val="00A56244"/>
    <w:rsid w:val="00A562A3"/>
    <w:rsid w:val="00A60BDF"/>
    <w:rsid w:val="00A62701"/>
    <w:rsid w:val="00A62975"/>
    <w:rsid w:val="00A65135"/>
    <w:rsid w:val="00A6559E"/>
    <w:rsid w:val="00A6624E"/>
    <w:rsid w:val="00A72C4A"/>
    <w:rsid w:val="00A74A5B"/>
    <w:rsid w:val="00A74AE6"/>
    <w:rsid w:val="00A76464"/>
    <w:rsid w:val="00A76959"/>
    <w:rsid w:val="00A813AC"/>
    <w:rsid w:val="00A830E7"/>
    <w:rsid w:val="00A833DC"/>
    <w:rsid w:val="00A83587"/>
    <w:rsid w:val="00A83E0C"/>
    <w:rsid w:val="00A84028"/>
    <w:rsid w:val="00A87587"/>
    <w:rsid w:val="00A96A88"/>
    <w:rsid w:val="00A96D8A"/>
    <w:rsid w:val="00A97236"/>
    <w:rsid w:val="00AA0810"/>
    <w:rsid w:val="00AA0EB5"/>
    <w:rsid w:val="00AA36CE"/>
    <w:rsid w:val="00AA393F"/>
    <w:rsid w:val="00AA54BB"/>
    <w:rsid w:val="00AA5EEE"/>
    <w:rsid w:val="00AB0115"/>
    <w:rsid w:val="00AB0C0D"/>
    <w:rsid w:val="00AB19C2"/>
    <w:rsid w:val="00AB364A"/>
    <w:rsid w:val="00AB49A1"/>
    <w:rsid w:val="00AB7E57"/>
    <w:rsid w:val="00AC3E01"/>
    <w:rsid w:val="00AC3FFD"/>
    <w:rsid w:val="00AC5394"/>
    <w:rsid w:val="00AC6321"/>
    <w:rsid w:val="00AD019A"/>
    <w:rsid w:val="00AD333F"/>
    <w:rsid w:val="00AD673E"/>
    <w:rsid w:val="00AE251D"/>
    <w:rsid w:val="00AE2AC4"/>
    <w:rsid w:val="00AE2D42"/>
    <w:rsid w:val="00AE5DB0"/>
    <w:rsid w:val="00AE753C"/>
    <w:rsid w:val="00AE7D52"/>
    <w:rsid w:val="00AF332F"/>
    <w:rsid w:val="00AF619A"/>
    <w:rsid w:val="00B02E79"/>
    <w:rsid w:val="00B11212"/>
    <w:rsid w:val="00B11A2F"/>
    <w:rsid w:val="00B12482"/>
    <w:rsid w:val="00B14ED3"/>
    <w:rsid w:val="00B151A5"/>
    <w:rsid w:val="00B15AB9"/>
    <w:rsid w:val="00B177F6"/>
    <w:rsid w:val="00B20BE0"/>
    <w:rsid w:val="00B22EB0"/>
    <w:rsid w:val="00B26D11"/>
    <w:rsid w:val="00B27B39"/>
    <w:rsid w:val="00B30AE2"/>
    <w:rsid w:val="00B3344E"/>
    <w:rsid w:val="00B35873"/>
    <w:rsid w:val="00B35E34"/>
    <w:rsid w:val="00B36F47"/>
    <w:rsid w:val="00B379C2"/>
    <w:rsid w:val="00B4092F"/>
    <w:rsid w:val="00B456F9"/>
    <w:rsid w:val="00B5355B"/>
    <w:rsid w:val="00B53D25"/>
    <w:rsid w:val="00B555F3"/>
    <w:rsid w:val="00B57515"/>
    <w:rsid w:val="00B578B4"/>
    <w:rsid w:val="00B60C83"/>
    <w:rsid w:val="00B62459"/>
    <w:rsid w:val="00B62D2D"/>
    <w:rsid w:val="00B63B02"/>
    <w:rsid w:val="00B652B4"/>
    <w:rsid w:val="00B66692"/>
    <w:rsid w:val="00B66F8F"/>
    <w:rsid w:val="00B7021E"/>
    <w:rsid w:val="00B726E7"/>
    <w:rsid w:val="00B7475B"/>
    <w:rsid w:val="00B7555E"/>
    <w:rsid w:val="00B77D8B"/>
    <w:rsid w:val="00B81CD9"/>
    <w:rsid w:val="00B82C1D"/>
    <w:rsid w:val="00B842F6"/>
    <w:rsid w:val="00B8759D"/>
    <w:rsid w:val="00B900EC"/>
    <w:rsid w:val="00B908DE"/>
    <w:rsid w:val="00B909A1"/>
    <w:rsid w:val="00B91CD0"/>
    <w:rsid w:val="00B96262"/>
    <w:rsid w:val="00BA5A7C"/>
    <w:rsid w:val="00BA6AE2"/>
    <w:rsid w:val="00BA7786"/>
    <w:rsid w:val="00BA7F7C"/>
    <w:rsid w:val="00BB12FE"/>
    <w:rsid w:val="00BB25FF"/>
    <w:rsid w:val="00BB304E"/>
    <w:rsid w:val="00BB6431"/>
    <w:rsid w:val="00BB6D38"/>
    <w:rsid w:val="00BC19E7"/>
    <w:rsid w:val="00BC2A5D"/>
    <w:rsid w:val="00BC3CA1"/>
    <w:rsid w:val="00BC42E7"/>
    <w:rsid w:val="00BC55D1"/>
    <w:rsid w:val="00BC6910"/>
    <w:rsid w:val="00BC70BC"/>
    <w:rsid w:val="00BD18B0"/>
    <w:rsid w:val="00BD235D"/>
    <w:rsid w:val="00BD238C"/>
    <w:rsid w:val="00BD29F3"/>
    <w:rsid w:val="00BE18B6"/>
    <w:rsid w:val="00BE253F"/>
    <w:rsid w:val="00BE6217"/>
    <w:rsid w:val="00BF0F3C"/>
    <w:rsid w:val="00BF25ED"/>
    <w:rsid w:val="00BF2F58"/>
    <w:rsid w:val="00BF5D86"/>
    <w:rsid w:val="00C0213E"/>
    <w:rsid w:val="00C041A9"/>
    <w:rsid w:val="00C05D68"/>
    <w:rsid w:val="00C0605C"/>
    <w:rsid w:val="00C06E1E"/>
    <w:rsid w:val="00C07D5E"/>
    <w:rsid w:val="00C113A2"/>
    <w:rsid w:val="00C12317"/>
    <w:rsid w:val="00C12336"/>
    <w:rsid w:val="00C12E39"/>
    <w:rsid w:val="00C15ABC"/>
    <w:rsid w:val="00C20048"/>
    <w:rsid w:val="00C20A60"/>
    <w:rsid w:val="00C20C73"/>
    <w:rsid w:val="00C21BB9"/>
    <w:rsid w:val="00C2257A"/>
    <w:rsid w:val="00C22CA1"/>
    <w:rsid w:val="00C23F1F"/>
    <w:rsid w:val="00C2595E"/>
    <w:rsid w:val="00C25D93"/>
    <w:rsid w:val="00C25F77"/>
    <w:rsid w:val="00C2639B"/>
    <w:rsid w:val="00C30A7E"/>
    <w:rsid w:val="00C31C34"/>
    <w:rsid w:val="00C3204F"/>
    <w:rsid w:val="00C323FD"/>
    <w:rsid w:val="00C3541B"/>
    <w:rsid w:val="00C40AAA"/>
    <w:rsid w:val="00C40D40"/>
    <w:rsid w:val="00C42954"/>
    <w:rsid w:val="00C44D0A"/>
    <w:rsid w:val="00C46929"/>
    <w:rsid w:val="00C54E6E"/>
    <w:rsid w:val="00C554D0"/>
    <w:rsid w:val="00C57228"/>
    <w:rsid w:val="00C61505"/>
    <w:rsid w:val="00C648B1"/>
    <w:rsid w:val="00C7190C"/>
    <w:rsid w:val="00C72B29"/>
    <w:rsid w:val="00C732F7"/>
    <w:rsid w:val="00C74406"/>
    <w:rsid w:val="00C74784"/>
    <w:rsid w:val="00C814E6"/>
    <w:rsid w:val="00C82592"/>
    <w:rsid w:val="00C835EA"/>
    <w:rsid w:val="00C8380F"/>
    <w:rsid w:val="00C84D66"/>
    <w:rsid w:val="00C863C5"/>
    <w:rsid w:val="00C874CC"/>
    <w:rsid w:val="00C87B2E"/>
    <w:rsid w:val="00C87D23"/>
    <w:rsid w:val="00C87EEC"/>
    <w:rsid w:val="00C91B81"/>
    <w:rsid w:val="00C921FA"/>
    <w:rsid w:val="00C93E4B"/>
    <w:rsid w:val="00C96355"/>
    <w:rsid w:val="00C96924"/>
    <w:rsid w:val="00C9721F"/>
    <w:rsid w:val="00CA131B"/>
    <w:rsid w:val="00CA2B08"/>
    <w:rsid w:val="00CA420F"/>
    <w:rsid w:val="00CA4E5C"/>
    <w:rsid w:val="00CA538A"/>
    <w:rsid w:val="00CB3279"/>
    <w:rsid w:val="00CB70CA"/>
    <w:rsid w:val="00CC3FF5"/>
    <w:rsid w:val="00CC4808"/>
    <w:rsid w:val="00CC71A9"/>
    <w:rsid w:val="00CC73A6"/>
    <w:rsid w:val="00CD3404"/>
    <w:rsid w:val="00CD346F"/>
    <w:rsid w:val="00CD353B"/>
    <w:rsid w:val="00CD7781"/>
    <w:rsid w:val="00CE181A"/>
    <w:rsid w:val="00CE676E"/>
    <w:rsid w:val="00CE791A"/>
    <w:rsid w:val="00CF179C"/>
    <w:rsid w:val="00CF1CD9"/>
    <w:rsid w:val="00CF1D08"/>
    <w:rsid w:val="00CF64DD"/>
    <w:rsid w:val="00D02CA4"/>
    <w:rsid w:val="00D04492"/>
    <w:rsid w:val="00D05230"/>
    <w:rsid w:val="00D05E5D"/>
    <w:rsid w:val="00D075AA"/>
    <w:rsid w:val="00D07A9E"/>
    <w:rsid w:val="00D109D6"/>
    <w:rsid w:val="00D112B6"/>
    <w:rsid w:val="00D12CFF"/>
    <w:rsid w:val="00D149F9"/>
    <w:rsid w:val="00D16314"/>
    <w:rsid w:val="00D16427"/>
    <w:rsid w:val="00D17D50"/>
    <w:rsid w:val="00D2023E"/>
    <w:rsid w:val="00D2222B"/>
    <w:rsid w:val="00D232D0"/>
    <w:rsid w:val="00D24234"/>
    <w:rsid w:val="00D252E0"/>
    <w:rsid w:val="00D252ED"/>
    <w:rsid w:val="00D3125F"/>
    <w:rsid w:val="00D41566"/>
    <w:rsid w:val="00D44D8E"/>
    <w:rsid w:val="00D44F14"/>
    <w:rsid w:val="00D50502"/>
    <w:rsid w:val="00D50C3B"/>
    <w:rsid w:val="00D5131E"/>
    <w:rsid w:val="00D53640"/>
    <w:rsid w:val="00D5459F"/>
    <w:rsid w:val="00D5589C"/>
    <w:rsid w:val="00D565A3"/>
    <w:rsid w:val="00D57050"/>
    <w:rsid w:val="00D57886"/>
    <w:rsid w:val="00D611BA"/>
    <w:rsid w:val="00D61EB2"/>
    <w:rsid w:val="00D62CC1"/>
    <w:rsid w:val="00D664CD"/>
    <w:rsid w:val="00D71F63"/>
    <w:rsid w:val="00D740FC"/>
    <w:rsid w:val="00D7424B"/>
    <w:rsid w:val="00D75708"/>
    <w:rsid w:val="00D7582A"/>
    <w:rsid w:val="00D805D5"/>
    <w:rsid w:val="00D87E5F"/>
    <w:rsid w:val="00D900F6"/>
    <w:rsid w:val="00D91EBB"/>
    <w:rsid w:val="00D95EC4"/>
    <w:rsid w:val="00D96CA3"/>
    <w:rsid w:val="00D9770E"/>
    <w:rsid w:val="00D97A2B"/>
    <w:rsid w:val="00D97CB7"/>
    <w:rsid w:val="00DA129D"/>
    <w:rsid w:val="00DA20A4"/>
    <w:rsid w:val="00DA4E25"/>
    <w:rsid w:val="00DB0985"/>
    <w:rsid w:val="00DB16CD"/>
    <w:rsid w:val="00DB40CD"/>
    <w:rsid w:val="00DB4CFD"/>
    <w:rsid w:val="00DB4F08"/>
    <w:rsid w:val="00DB6E5C"/>
    <w:rsid w:val="00DB7C48"/>
    <w:rsid w:val="00DB7FA6"/>
    <w:rsid w:val="00DC0561"/>
    <w:rsid w:val="00DC232A"/>
    <w:rsid w:val="00DC5FC7"/>
    <w:rsid w:val="00DD1104"/>
    <w:rsid w:val="00DD5E67"/>
    <w:rsid w:val="00DE0177"/>
    <w:rsid w:val="00DE0C21"/>
    <w:rsid w:val="00DE567D"/>
    <w:rsid w:val="00DE7AD3"/>
    <w:rsid w:val="00DF15A1"/>
    <w:rsid w:val="00DF1A5B"/>
    <w:rsid w:val="00DF2B03"/>
    <w:rsid w:val="00DF4295"/>
    <w:rsid w:val="00E04CBC"/>
    <w:rsid w:val="00E05613"/>
    <w:rsid w:val="00E07438"/>
    <w:rsid w:val="00E1202D"/>
    <w:rsid w:val="00E12C49"/>
    <w:rsid w:val="00E1690C"/>
    <w:rsid w:val="00E1794C"/>
    <w:rsid w:val="00E203EB"/>
    <w:rsid w:val="00E20EA7"/>
    <w:rsid w:val="00E24082"/>
    <w:rsid w:val="00E25B88"/>
    <w:rsid w:val="00E271FF"/>
    <w:rsid w:val="00E30678"/>
    <w:rsid w:val="00E3185D"/>
    <w:rsid w:val="00E325DC"/>
    <w:rsid w:val="00E3532E"/>
    <w:rsid w:val="00E4068C"/>
    <w:rsid w:val="00E40E00"/>
    <w:rsid w:val="00E438C6"/>
    <w:rsid w:val="00E44433"/>
    <w:rsid w:val="00E455A7"/>
    <w:rsid w:val="00E53CA3"/>
    <w:rsid w:val="00E55349"/>
    <w:rsid w:val="00E55D2D"/>
    <w:rsid w:val="00E56B39"/>
    <w:rsid w:val="00E56BEF"/>
    <w:rsid w:val="00E57316"/>
    <w:rsid w:val="00E6010E"/>
    <w:rsid w:val="00E604AE"/>
    <w:rsid w:val="00E63F86"/>
    <w:rsid w:val="00E66EE5"/>
    <w:rsid w:val="00E723E9"/>
    <w:rsid w:val="00E725F8"/>
    <w:rsid w:val="00E7567D"/>
    <w:rsid w:val="00E769AA"/>
    <w:rsid w:val="00E776BA"/>
    <w:rsid w:val="00E804EF"/>
    <w:rsid w:val="00E83230"/>
    <w:rsid w:val="00E83C06"/>
    <w:rsid w:val="00E843BE"/>
    <w:rsid w:val="00E85DE9"/>
    <w:rsid w:val="00E86C59"/>
    <w:rsid w:val="00EA182A"/>
    <w:rsid w:val="00EA1F30"/>
    <w:rsid w:val="00EA2A07"/>
    <w:rsid w:val="00EA4707"/>
    <w:rsid w:val="00EB09A7"/>
    <w:rsid w:val="00EB2829"/>
    <w:rsid w:val="00EB2B18"/>
    <w:rsid w:val="00EB3A34"/>
    <w:rsid w:val="00EB6824"/>
    <w:rsid w:val="00EB7ED2"/>
    <w:rsid w:val="00EC125D"/>
    <w:rsid w:val="00EC15E4"/>
    <w:rsid w:val="00EC323E"/>
    <w:rsid w:val="00EC4106"/>
    <w:rsid w:val="00EC4A25"/>
    <w:rsid w:val="00EC4E9D"/>
    <w:rsid w:val="00EC6A58"/>
    <w:rsid w:val="00ED0F50"/>
    <w:rsid w:val="00ED18CB"/>
    <w:rsid w:val="00ED45A6"/>
    <w:rsid w:val="00EE057B"/>
    <w:rsid w:val="00EE1CE1"/>
    <w:rsid w:val="00EE3488"/>
    <w:rsid w:val="00EE3E7F"/>
    <w:rsid w:val="00EE4300"/>
    <w:rsid w:val="00EE5367"/>
    <w:rsid w:val="00EE6596"/>
    <w:rsid w:val="00EF0FC7"/>
    <w:rsid w:val="00EF3B2B"/>
    <w:rsid w:val="00EF7592"/>
    <w:rsid w:val="00F00BFB"/>
    <w:rsid w:val="00F01161"/>
    <w:rsid w:val="00F03EFE"/>
    <w:rsid w:val="00F05727"/>
    <w:rsid w:val="00F10208"/>
    <w:rsid w:val="00F112AB"/>
    <w:rsid w:val="00F1310E"/>
    <w:rsid w:val="00F16A1A"/>
    <w:rsid w:val="00F20E64"/>
    <w:rsid w:val="00F211A6"/>
    <w:rsid w:val="00F21AAA"/>
    <w:rsid w:val="00F23D5C"/>
    <w:rsid w:val="00F257CD"/>
    <w:rsid w:val="00F26113"/>
    <w:rsid w:val="00F267B4"/>
    <w:rsid w:val="00F27665"/>
    <w:rsid w:val="00F3714F"/>
    <w:rsid w:val="00F4018C"/>
    <w:rsid w:val="00F40C56"/>
    <w:rsid w:val="00F429F1"/>
    <w:rsid w:val="00F433C7"/>
    <w:rsid w:val="00F43DA8"/>
    <w:rsid w:val="00F4534A"/>
    <w:rsid w:val="00F5244D"/>
    <w:rsid w:val="00F52BF3"/>
    <w:rsid w:val="00F648EB"/>
    <w:rsid w:val="00F65253"/>
    <w:rsid w:val="00F661E0"/>
    <w:rsid w:val="00F6669B"/>
    <w:rsid w:val="00F66719"/>
    <w:rsid w:val="00F67932"/>
    <w:rsid w:val="00F70B56"/>
    <w:rsid w:val="00F7184F"/>
    <w:rsid w:val="00F71B38"/>
    <w:rsid w:val="00F72D4A"/>
    <w:rsid w:val="00F736F9"/>
    <w:rsid w:val="00F7628B"/>
    <w:rsid w:val="00F76B9C"/>
    <w:rsid w:val="00F776FF"/>
    <w:rsid w:val="00F860D5"/>
    <w:rsid w:val="00F86522"/>
    <w:rsid w:val="00F8657F"/>
    <w:rsid w:val="00F871D3"/>
    <w:rsid w:val="00F873E4"/>
    <w:rsid w:val="00F93F55"/>
    <w:rsid w:val="00F965B3"/>
    <w:rsid w:val="00F968C3"/>
    <w:rsid w:val="00FA53E9"/>
    <w:rsid w:val="00FA5A6D"/>
    <w:rsid w:val="00FB00A5"/>
    <w:rsid w:val="00FB0ED1"/>
    <w:rsid w:val="00FC45A2"/>
    <w:rsid w:val="00FD0455"/>
    <w:rsid w:val="00FD07BE"/>
    <w:rsid w:val="00FD1382"/>
    <w:rsid w:val="00FD363C"/>
    <w:rsid w:val="00FD793B"/>
    <w:rsid w:val="00FE3F2F"/>
    <w:rsid w:val="00FE594F"/>
    <w:rsid w:val="00FE6CC7"/>
    <w:rsid w:val="00FF006A"/>
    <w:rsid w:val="00FF128F"/>
    <w:rsid w:val="00FF3E7C"/>
    <w:rsid w:val="00FF47DF"/>
    <w:rsid w:val="00FF640F"/>
    <w:rsid w:val="00FF6877"/>
  </w:rsids>
  <m:mathPr>
    <m:mathFont m:val="Cambria Math"/>
    <m:brkBin m:val="before"/>
    <m:brkBinSub m:val="--"/>
    <m:smallFrac m:val="0"/>
    <m:dispDef/>
    <m:lMargin m:val="0"/>
    <m:rMargin m:val="0"/>
    <m:defJc m:val="centerGroup"/>
    <m:wrapIndent m:val="1440"/>
    <m:intLim m:val="subSup"/>
    <m:naryLim m:val="undOvr"/>
  </m:mathPr>
  <w:themeFontLang w:val="en-US" w:bidi="bn-B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F2990"/>
  <w15:chartTrackingRefBased/>
  <w15:docId w15:val="{A2EECBFC-427A-4A50-9B4F-2F82ACBB8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kern w:val="2"/>
        <w:sz w:val="24"/>
        <w:szCs w:val="24"/>
        <w:lang w:val="en-US" w:eastAsia="en-US" w:bidi="ar-SA"/>
        <w14:ligatures w14:val="standardContextual"/>
      </w:rPr>
    </w:rPrDefault>
    <w:pPrDefault>
      <w:pPr>
        <w:spacing w:after="160" w:line="360"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C53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ustomStyle1">
    <w:name w:val="Custom Style 1"/>
    <w:basedOn w:val="Normal"/>
    <w:next w:val="Normal"/>
    <w:autoRedefine/>
    <w:qFormat/>
    <w:rsid w:val="006311D7"/>
    <w:pPr>
      <w:spacing w:line="240" w:lineRule="auto"/>
      <w:jc w:val="center"/>
      <w:outlineLvl w:val="0"/>
    </w:pPr>
    <w:rPr>
      <w:b/>
      <w:bCs/>
      <w:smallCaps/>
      <w:color w:val="4472C4" w:themeColor="accent1"/>
      <w:sz w:val="32"/>
      <w:szCs w:val="28"/>
    </w:rPr>
  </w:style>
  <w:style w:type="paragraph" w:customStyle="1" w:styleId="CustomStyle2">
    <w:name w:val="Custom Style 2"/>
    <w:basedOn w:val="CustomStyle1"/>
    <w:next w:val="Normal"/>
    <w:autoRedefine/>
    <w:qFormat/>
    <w:rsid w:val="006311D7"/>
    <w:pPr>
      <w:spacing w:after="40"/>
      <w:jc w:val="both"/>
      <w:outlineLvl w:val="1"/>
    </w:pPr>
    <w:rPr>
      <w:color w:val="44546A" w:themeColor="text2"/>
      <w:sz w:val="28"/>
    </w:rPr>
  </w:style>
  <w:style w:type="paragraph" w:customStyle="1" w:styleId="CustomStyle3">
    <w:name w:val="Custom Style 3"/>
    <w:basedOn w:val="CustomStyle2"/>
    <w:next w:val="Normal"/>
    <w:autoRedefine/>
    <w:qFormat/>
    <w:rsid w:val="006311D7"/>
    <w:pPr>
      <w:spacing w:after="0"/>
      <w:outlineLvl w:val="2"/>
    </w:pPr>
    <w:rPr>
      <w:rFonts w:eastAsia="Times New Roman"/>
      <w:color w:val="C45911" w:themeColor="accent2" w:themeShade="BF"/>
      <w:kern w:val="0"/>
      <w:sz w:val="24"/>
      <w14:ligatures w14:val="none"/>
    </w:rPr>
  </w:style>
  <w:style w:type="paragraph" w:customStyle="1" w:styleId="CustomStyle4">
    <w:name w:val="Custom Style 4"/>
    <w:basedOn w:val="Normal"/>
    <w:next w:val="Normal"/>
    <w:autoRedefine/>
    <w:qFormat/>
    <w:rsid w:val="006311D7"/>
    <w:pPr>
      <w:numPr>
        <w:numId w:val="1"/>
      </w:numPr>
      <w:spacing w:after="0" w:line="240" w:lineRule="auto"/>
      <w:outlineLvl w:val="3"/>
    </w:pPr>
    <w:rPr>
      <w:rFonts w:eastAsia="Times New Roman"/>
      <w:b/>
      <w:color w:val="833C0B" w:themeColor="accent2" w:themeShade="80"/>
      <w:kern w:val="0"/>
      <w14:ligatures w14:val="none"/>
    </w:rPr>
  </w:style>
  <w:style w:type="paragraph" w:customStyle="1" w:styleId="CustomStyle5">
    <w:name w:val="Custom Style 5"/>
    <w:basedOn w:val="Normal"/>
    <w:next w:val="Normal"/>
    <w:autoRedefine/>
    <w:qFormat/>
    <w:rsid w:val="006311D7"/>
    <w:pPr>
      <w:numPr>
        <w:numId w:val="2"/>
      </w:numPr>
      <w:spacing w:after="40" w:line="240" w:lineRule="auto"/>
      <w:outlineLvl w:val="5"/>
    </w:pPr>
    <w:rPr>
      <w:b/>
      <w:bCs/>
      <w:iCs/>
      <w:color w:val="4472C4" w:themeColor="accent1"/>
    </w:rPr>
  </w:style>
  <w:style w:type="paragraph" w:customStyle="1" w:styleId="CustomStyle6">
    <w:name w:val="Custom Style 6"/>
    <w:basedOn w:val="CustomStyle5"/>
    <w:next w:val="Normal"/>
    <w:autoRedefine/>
    <w:qFormat/>
    <w:rsid w:val="006311D7"/>
    <w:pPr>
      <w:numPr>
        <w:numId w:val="3"/>
      </w:numPr>
      <w:spacing w:after="0"/>
    </w:pPr>
    <w:rPr>
      <w:rFonts w:cs="Courier New"/>
      <w:color w:val="833C0B" w:themeColor="accent2" w:themeShade="80"/>
    </w:rPr>
  </w:style>
  <w:style w:type="table" w:styleId="TableGrid">
    <w:name w:val="Table Grid"/>
    <w:basedOn w:val="TableNormal"/>
    <w:uiPriority w:val="39"/>
    <w:rsid w:val="00BA6A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AE2"/>
    <w:pPr>
      <w:ind w:left="720"/>
      <w:contextualSpacing/>
    </w:pPr>
  </w:style>
  <w:style w:type="character" w:customStyle="1" w:styleId="hgkelc">
    <w:name w:val="hgkelc"/>
    <w:basedOn w:val="DefaultParagraphFont"/>
    <w:rsid w:val="000A2632"/>
  </w:style>
  <w:style w:type="character" w:customStyle="1" w:styleId="res9jf">
    <w:name w:val="res9jf"/>
    <w:basedOn w:val="DefaultParagraphFont"/>
    <w:rsid w:val="00B77D8B"/>
  </w:style>
  <w:style w:type="character" w:styleId="Hyperlink">
    <w:name w:val="Hyperlink"/>
    <w:basedOn w:val="DefaultParagraphFont"/>
    <w:uiPriority w:val="99"/>
    <w:unhideWhenUsed/>
    <w:rsid w:val="00846CDF"/>
    <w:rPr>
      <w:color w:val="0563C1" w:themeColor="hyperlink"/>
      <w:u w:val="single"/>
    </w:rPr>
  </w:style>
  <w:style w:type="character" w:styleId="UnresolvedMention">
    <w:name w:val="Unresolved Mention"/>
    <w:basedOn w:val="DefaultParagraphFont"/>
    <w:uiPriority w:val="99"/>
    <w:semiHidden/>
    <w:unhideWhenUsed/>
    <w:rsid w:val="00846CDF"/>
    <w:rPr>
      <w:color w:val="605E5C"/>
      <w:shd w:val="clear" w:color="auto" w:fill="E1DFDD"/>
    </w:rPr>
  </w:style>
  <w:style w:type="paragraph" w:styleId="FootnoteText">
    <w:name w:val="footnote text"/>
    <w:basedOn w:val="Normal"/>
    <w:link w:val="FootnoteTextChar"/>
    <w:uiPriority w:val="99"/>
    <w:semiHidden/>
    <w:unhideWhenUsed/>
    <w:rsid w:val="009736E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736E5"/>
    <w:rPr>
      <w:sz w:val="20"/>
      <w:szCs w:val="20"/>
    </w:rPr>
  </w:style>
  <w:style w:type="character" w:styleId="FootnoteReference">
    <w:name w:val="footnote reference"/>
    <w:basedOn w:val="DefaultParagraphFont"/>
    <w:uiPriority w:val="99"/>
    <w:semiHidden/>
    <w:unhideWhenUsed/>
    <w:rsid w:val="009736E5"/>
    <w:rPr>
      <w:vertAlign w:val="superscript"/>
    </w:rPr>
  </w:style>
  <w:style w:type="paragraph" w:styleId="Header">
    <w:name w:val="header"/>
    <w:basedOn w:val="Normal"/>
    <w:link w:val="HeaderChar"/>
    <w:uiPriority w:val="99"/>
    <w:unhideWhenUsed/>
    <w:rsid w:val="00503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3F64"/>
  </w:style>
  <w:style w:type="paragraph" w:styleId="Footer">
    <w:name w:val="footer"/>
    <w:basedOn w:val="Normal"/>
    <w:link w:val="FooterChar"/>
    <w:uiPriority w:val="99"/>
    <w:unhideWhenUsed/>
    <w:rsid w:val="00503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3F64"/>
  </w:style>
  <w:style w:type="table" w:styleId="GridTable6Colorful">
    <w:name w:val="Grid Table 6 Colorful"/>
    <w:basedOn w:val="TableNormal"/>
    <w:uiPriority w:val="51"/>
    <w:rsid w:val="002A5CC2"/>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cb.gov.bd"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314C5C-9084-584B-8C9E-895E5D008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2047</TotalTime>
  <Pages>11</Pages>
  <Words>4614</Words>
  <Characters>26305</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Anwar Mojumder</dc:creator>
  <cp:keywords/>
  <dc:description/>
  <cp:lastModifiedBy>Teo Kvirikashvili</cp:lastModifiedBy>
  <cp:revision>1105</cp:revision>
  <dcterms:created xsi:type="dcterms:W3CDTF">2023-05-25T16:03:00Z</dcterms:created>
  <dcterms:modified xsi:type="dcterms:W3CDTF">2025-03-31T16:12:00Z</dcterms:modified>
</cp:coreProperties>
</file>