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9" w:line="276" w:lineRule="auto"/>
              <w:ind w:left="3057" w:right="3051" w:firstLine="0"/>
              <w:jc w:val="center"/>
              <w:rPr>
                <w:b w:val="1"/>
                <w:color w:val="000000"/>
                <w:sz w:val="24"/>
                <w:szCs w:val="24"/>
              </w:rPr>
            </w:pPr>
            <w:r w:rsidDel="00000000" w:rsidR="00000000" w:rsidRPr="00000000">
              <w:rPr>
                <w:b w:val="1"/>
                <w:color w:val="000000"/>
                <w:sz w:val="24"/>
                <w:szCs w:val="24"/>
                <w:rtl w:val="0"/>
              </w:rPr>
              <w:t xml:space="preserve">Curaçao</w:t>
            </w:r>
          </w:p>
        </w:tc>
      </w:tr>
      <w:tr>
        <w:trPr>
          <w:cantSplit w:val="0"/>
          <w:trHeight w:val="465" w:hRule="atLeast"/>
          <w:tblHeader w:val="0"/>
        </w:trPr>
        <w:tc>
          <w:tcPr>
            <w:gridSpan w:val="12"/>
            <w:shd w:fill="b9a98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National Ordinance of March 29, 2016, establishing the National Ordinance on Competition. Official Bulletin (2016 Nr. 16)</w:t>
            </w:r>
            <w:r w:rsidDel="00000000" w:rsidR="00000000" w:rsidRPr="00000000">
              <w:rPr>
                <w:sz w:val="16"/>
                <w:szCs w:val="16"/>
                <w:rtl w:val="0"/>
              </w:rPr>
              <w:t xml:space="preserve"> </w:t>
            </w:r>
            <w:r w:rsidDel="00000000" w:rsidR="00000000" w:rsidRPr="00000000">
              <w:rPr>
                <w:i w:val="1"/>
                <w:sz w:val="16"/>
                <w:szCs w:val="16"/>
                <w:rtl w:val="0"/>
              </w:rPr>
              <w:t xml:space="preserve">(</w:t>
            </w:r>
            <w:r w:rsidDel="00000000" w:rsidR="00000000" w:rsidRPr="00000000">
              <w:rPr>
                <w:i w:val="1"/>
                <w:color w:val="000000"/>
                <w:sz w:val="16"/>
                <w:szCs w:val="16"/>
                <w:rtl w:val="0"/>
              </w:rPr>
              <w:t xml:space="preserve">Landsverordening van de 29ste maart 2016 houdende vaststelling van de Landsverordening inzake concurrentie. Publicatieblad (2016 nr. 16)</w:t>
            </w:r>
            <w:r w:rsidDel="00000000" w:rsidR="00000000" w:rsidRPr="00000000">
              <w:rPr>
                <w:i w:val="1"/>
                <w:sz w:val="16"/>
                <w:szCs w:val="16"/>
                <w:rtl w:val="0"/>
              </w:rPr>
              <w:t xml:space="preserve">)</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ntroduce the name of the laws constituting the National Competition Law Regime. Include the year of enaction and the corresponding amendments as well.]</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7" w:firstLine="0"/>
              <w:rPr>
                <w:color w:val="0000ff"/>
                <w:sz w:val="16"/>
                <w:szCs w:val="16"/>
                <w:u w:val="single"/>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Fair Trade Authority Curaçao was authorized by national ordinance in 2016 and the competition laws of the constituent nation entered force on September 1, 2017.</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FTAC Website: https://ftac.cw/en/</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119" w:line="276" w:lineRule="auto"/>
              <w:ind w:left="3840" w:right="3834" w:firstLine="0"/>
              <w:jc w:val="center"/>
              <w:rPr>
                <w:b w:val="1"/>
                <w:color w:val="000000"/>
                <w:sz w:val="20"/>
                <w:szCs w:val="20"/>
              </w:rPr>
            </w:pPr>
            <w:r w:rsidDel="00000000" w:rsidR="00000000" w:rsidRPr="00000000">
              <w:rPr>
                <w:b w:val="1"/>
                <w:smallCaps w:val="1"/>
                <w:color w:val="000000"/>
                <w:sz w:val="20"/>
                <w:szCs w:val="20"/>
                <w:rtl w:val="0"/>
              </w:rPr>
              <w:t xml:space="preserve">Policy-Making Agents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3360"/>
              </w:tabs>
              <w:spacing w:before="119" w:line="276" w:lineRule="auto"/>
              <w:ind w:left="107" w:right="216" w:firstLine="0"/>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19" w:line="276" w:lineRule="auto"/>
              <w:ind w:left="105" w:right="90" w:firstLine="0"/>
              <w:jc w:val="both"/>
              <w:rPr>
                <w:color w:val="000000"/>
                <w:sz w:val="16"/>
                <w:szCs w:val="16"/>
              </w:rPr>
            </w:pPr>
            <w:r w:rsidDel="00000000" w:rsidR="00000000" w:rsidRPr="00000000">
              <w:rPr>
                <w:color w:val="000000"/>
                <w:sz w:val="16"/>
                <w:szCs w:val="16"/>
                <w:rtl w:val="0"/>
              </w:rPr>
              <w:t xml:space="preserve">One, the FTAC. The FTAC’s mandate is limited to prohibition of cartel behavior, abuse of dominant market positions, and merger review. The FTAC does not have authority to impose criminal liability. However, the FTAC may unilaterally impose binding directives to firms, administrative fines, or penalty payments (Article 7.1(1))</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19"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19"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19" w:line="276" w:lineRule="auto"/>
              <w:ind w:left="105" w:right="90" w:firstLine="0"/>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19" w:line="276" w:lineRule="auto"/>
              <w:ind w:right="216"/>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19" w:line="276" w:lineRule="auto"/>
              <w:ind w:left="105" w:right="90" w:firstLine="0"/>
              <w:jc w:val="both"/>
              <w:rPr>
                <w:color w:val="000000"/>
                <w:sz w:val="16"/>
                <w:szCs w:val="16"/>
              </w:rPr>
            </w:pPr>
            <w:r w:rsidDel="00000000" w:rsidR="00000000" w:rsidRPr="00000000">
              <w:rPr>
                <w:color w:val="000000"/>
                <w:sz w:val="16"/>
                <w:szCs w:val="16"/>
                <w:rtl w:val="0"/>
              </w:rPr>
              <w:t xml:space="preserve">No.</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19"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19" w:line="276" w:lineRule="auto"/>
              <w:ind w:left="105" w:right="90" w:firstLine="0"/>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19" w:line="276" w:lineRule="auto"/>
              <w:ind w:left="107" w:right="216" w:firstLine="0"/>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9" w:line="276" w:lineRule="auto"/>
              <w:ind w:left="105" w:right="90" w:firstLine="0"/>
              <w:jc w:val="both"/>
              <w:rPr>
                <w:sz w:val="16"/>
                <w:szCs w:val="16"/>
              </w:rPr>
            </w:pPr>
            <w:r w:rsidDel="00000000" w:rsidR="00000000" w:rsidRPr="00000000">
              <w:rPr>
                <w:sz w:val="16"/>
                <w:szCs w:val="16"/>
                <w:rtl w:val="0"/>
              </w:rPr>
              <w:t xml:space="preserve">Yes. FTAC signed a </w:t>
            </w:r>
            <w:hyperlink r:id="rId7">
              <w:r w:rsidDel="00000000" w:rsidR="00000000" w:rsidRPr="00000000">
                <w:rPr>
                  <w:color w:val="0000ff"/>
                  <w:sz w:val="16"/>
                  <w:szCs w:val="16"/>
                  <w:u w:val="single"/>
                  <w:rtl w:val="0"/>
                </w:rPr>
                <w:t xml:space="preserve">collaboration protocol</w:t>
              </w:r>
            </w:hyperlink>
            <w:r w:rsidDel="00000000" w:rsidR="00000000" w:rsidRPr="00000000">
              <w:rPr>
                <w:sz w:val="16"/>
                <w:szCs w:val="16"/>
                <w:rtl w:val="0"/>
              </w:rPr>
              <w:t xml:space="preserve"> with the Central Bank of Curaçao and St. Martin (CBCS) in 2018.</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19" w:line="276" w:lineRule="auto"/>
              <w:ind w:left="105"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here any provision or interinstitutional agreement that allows the competition authorities to coordinate behavior to effectively enforce competition law.]</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119" w:line="276" w:lineRule="auto"/>
              <w:ind w:left="105" w:right="90"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19" w:line="276" w:lineRule="auto"/>
              <w:ind w:right="294"/>
              <w:jc w:val="both"/>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8">
            <w:pPr>
              <w:spacing w:line="276" w:lineRule="auto"/>
              <w:jc w:val="center"/>
              <w:rPr>
                <w:sz w:val="16"/>
                <w:szCs w:val="16"/>
              </w:rPr>
            </w:pPr>
            <w:r w:rsidDel="00000000" w:rsidR="00000000" w:rsidRPr="00000000">
              <w:rPr>
                <w:sz w:val="16"/>
                <w:szCs w:val="16"/>
                <w:rtl w:val="0"/>
              </w:rPr>
              <w:t xml:space="preserve">No</w:t>
            </w:r>
          </w:p>
          <w:p w:rsidR="00000000" w:rsidDel="00000000" w:rsidP="00000000" w:rsidRDefault="00000000" w:rsidRPr="00000000" w14:paraId="00000089">
            <w:pPr>
              <w:spacing w:line="276" w:lineRule="auto"/>
              <w:jc w:val="center"/>
              <w:rPr>
                <w:sz w:val="16"/>
                <w:szCs w:val="16"/>
              </w:rPr>
            </w:pPr>
            <w:r w:rsidDel="00000000" w:rsidR="00000000" w:rsidRPr="00000000">
              <w:rPr>
                <w:rtl w:val="0"/>
              </w:rPr>
            </w:r>
          </w:p>
          <w:p w:rsidR="00000000" w:rsidDel="00000000" w:rsidP="00000000" w:rsidRDefault="00000000" w:rsidRPr="00000000" w14:paraId="0000008A">
            <w:pPr>
              <w:spacing w:line="276" w:lineRule="auto"/>
              <w:jc w:val="center"/>
              <w:rPr>
                <w:sz w:val="16"/>
                <w:szCs w:val="16"/>
              </w:rPr>
            </w:pPr>
            <w:r w:rsidDel="00000000" w:rsidR="00000000" w:rsidRPr="00000000">
              <w:rPr>
                <w:rtl w:val="0"/>
              </w:rPr>
            </w:r>
          </w:p>
        </w:tc>
        <w:tc>
          <w:tcPr>
            <w:gridSpan w:val="4"/>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19" w:line="276" w:lineRule="auto"/>
              <w:ind w:left="90" w:right="108"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19" w:line="276" w:lineRule="auto"/>
              <w:ind w:left="90" w:right="108"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19" w:line="276" w:lineRule="auto"/>
              <w:ind w:right="294"/>
              <w:jc w:val="both"/>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97">
            <w:pPr>
              <w:spacing w:line="276" w:lineRule="auto"/>
              <w:jc w:val="center"/>
              <w:rPr>
                <w:sz w:val="16"/>
                <w:szCs w:val="16"/>
              </w:rPr>
            </w:pPr>
            <w:r w:rsidDel="00000000" w:rsidR="00000000" w:rsidRPr="00000000">
              <w:rPr>
                <w:sz w:val="16"/>
                <w:szCs w:val="16"/>
                <w:rtl w:val="0"/>
              </w:rPr>
              <w:t xml:space="preserve">No</w:t>
            </w:r>
          </w:p>
          <w:p w:rsidR="00000000" w:rsidDel="00000000" w:rsidP="00000000" w:rsidRDefault="00000000" w:rsidRPr="00000000" w14:paraId="00000098">
            <w:pPr>
              <w:spacing w:line="276" w:lineRule="auto"/>
              <w:jc w:val="left"/>
              <w:rPr>
                <w:sz w:val="16"/>
                <w:szCs w:val="16"/>
              </w:rPr>
            </w:pPr>
            <w:r w:rsidDel="00000000" w:rsidR="00000000" w:rsidRPr="00000000">
              <w:rPr>
                <w:rtl w:val="0"/>
              </w:rPr>
            </w:r>
          </w:p>
        </w:tc>
        <w:tc>
          <w:tcPr>
            <w:gridSpan w:val="4"/>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119" w:line="276" w:lineRule="auto"/>
              <w:ind w:left="90" w:right="108" w:firstLine="0"/>
              <w:rPr>
                <w:color w:val="000000"/>
                <w:sz w:val="16"/>
                <w:szCs w:val="16"/>
              </w:rPr>
            </w:pPr>
            <w:r w:rsidDel="00000000" w:rsidR="00000000" w:rsidRPr="00000000">
              <w:rPr>
                <w:color w:val="000000"/>
                <w:sz w:val="16"/>
                <w:szCs w:val="16"/>
                <w:rtl w:val="0"/>
              </w:rPr>
              <w:t xml:space="preserve">FTAC’s power is limited to administrative action and is not adjudicated through the judiciary. However, </w:t>
            </w:r>
            <w:r w:rsidDel="00000000" w:rsidR="00000000" w:rsidRPr="00000000">
              <w:rPr>
                <w:color w:val="000000"/>
                <w:sz w:val="16"/>
                <w:szCs w:val="16"/>
                <w:rtl w:val="0"/>
              </w:rPr>
              <w:t xml:space="preserve">the judiciary maintains appeal authority over enforcement orders levied </w:t>
            </w:r>
            <w:r w:rsidDel="00000000" w:rsidR="00000000" w:rsidRPr="00000000">
              <w:rPr>
                <w:color w:val="000000"/>
                <w:sz w:val="16"/>
                <w:szCs w:val="16"/>
                <w:rtl w:val="0"/>
              </w:rPr>
              <w:t xml:space="preserve">by FTAC (Art. 7.17) and of disputes related to refusal to testify or provide documents due to confidentiality (Art. 6.5).</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119" w:line="276" w:lineRule="auto"/>
              <w:ind w:left="90" w:right="108"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19" w:line="276" w:lineRule="auto"/>
              <w:ind w:left="90" w:right="108"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19" w:line="276" w:lineRule="auto"/>
              <w:ind w:right="294"/>
              <w:jc w:val="both"/>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A6">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19" w:line="276" w:lineRule="auto"/>
              <w:ind w:left="90" w:right="108" w:firstLine="0"/>
              <w:rPr>
                <w:color w:val="000000"/>
                <w:sz w:val="16"/>
                <w:szCs w:val="16"/>
              </w:rPr>
            </w:pPr>
            <w:r w:rsidDel="00000000" w:rsidR="00000000" w:rsidRPr="00000000">
              <w:rPr>
                <w:color w:val="000000"/>
                <w:sz w:val="16"/>
                <w:szCs w:val="16"/>
                <w:rtl w:val="0"/>
              </w:rPr>
              <w:t xml:space="preserve"> No private right of action is established in the National Ordinance and FTAC lacks the ability to act beyond administrative remedies.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19" w:line="276" w:lineRule="auto"/>
              <w:ind w:left="90" w:righ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19" w:line="276" w:lineRule="auto"/>
              <w:ind w:left="90" w:right="108" w:firstLine="0"/>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19" w:line="276" w:lineRule="auto"/>
              <w:ind w:left="107" w:right="312"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119" w:line="276" w:lineRule="auto"/>
              <w:ind w:left="3059" w:right="3050" w:firstLine="0"/>
              <w:jc w:val="center"/>
              <w:rPr>
                <w:color w:val="000000"/>
                <w:sz w:val="16"/>
                <w:szCs w:val="16"/>
              </w:rPr>
            </w:pPr>
            <w:r w:rsidDel="00000000" w:rsidR="00000000" w:rsidRPr="00000000">
              <w:rPr>
                <w:b w:val="1"/>
                <w:smallCaps w:val="1"/>
                <w:color w:val="000000"/>
                <w:sz w:val="20"/>
                <w:szCs w:val="20"/>
                <w:rtl w:val="0"/>
              </w:rPr>
              <w:t xml:space="preserve">Fair Trade Authority Curaçao</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(FTAC)</w:t>
            </w:r>
          </w:p>
        </w:tc>
      </w:tr>
      <w:tr>
        <w:trPr>
          <w:cantSplit w:val="0"/>
          <w:trHeight w:val="465" w:hRule="atLeast"/>
          <w:tblHeader w:val="0"/>
        </w:trPr>
        <w:tc>
          <w:tcPr>
            <w:gridSpan w:val="12"/>
            <w:shd w:fill="b9a989"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ind w:right="-6"/>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Minister of Economic Development may not demand inspection of information or documents related to ongoing investigations.</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(Art. 2.18(2))</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r w:rsidDel="00000000" w:rsidR="00000000" w:rsidRPr="00000000">
              <w:rPr>
                <w:color w:val="000000"/>
                <w:sz w:val="16"/>
                <w:szCs w:val="16"/>
                <w:rtl w:val="0"/>
              </w:rPr>
              <w:t xml:space="preserve"> </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76" w:lineRule="auto"/>
              <w:ind w:left="108" w:right="153" w:firstLine="0"/>
              <w:rPr>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p w:rsidR="00000000" w:rsidDel="00000000" w:rsidP="00000000" w:rsidRDefault="00000000" w:rsidRPr="00000000" w14:paraId="000000FD">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ind w:left="108" w:right="153" w:firstLine="0"/>
              <w:rPr>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ind w:right="-9"/>
              <w:jc w:val="center"/>
              <w:rPr>
                <w:color w:val="000000"/>
                <w:sz w:val="16"/>
                <w:szCs w:val="16"/>
              </w:rPr>
            </w:pPr>
            <w:sdt>
              <w:sdtPr>
                <w:tag w:val="goog_rdk_1"/>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tl w:val="0"/>
              </w:rPr>
            </w:r>
          </w:p>
        </w:tc>
        <w:tc>
          <w:tcPr>
            <w:gridSpan w:val="3"/>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authority has to report on an annual basis to the executive.</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Every year, the FTAC must prepare an general report and financial statement for the Minister of Economic Development.</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(Art. 2.23)</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0E">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2"/>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tl w:val="0"/>
              </w:rPr>
            </w:r>
          </w:p>
        </w:tc>
        <w:tc>
          <w:tcPr>
            <w:gridSpan w:val="3"/>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FTAC annual and 5-year reports presented to the Minister for Economic Development must be submitted to Parliament.</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(Arts. 2.23(5), 2.24(3), &amp; 10.3)</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1F">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rtl w:val="0"/>
              </w:rPr>
            </w:r>
          </w:p>
        </w:tc>
        <w:tc>
          <w:tcPr>
            <w:gridSpan w:val="3"/>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w:t>
            </w:r>
            <w:r w:rsidDel="00000000" w:rsidR="00000000" w:rsidRPr="00000000">
              <w:rPr>
                <w:color w:val="000000"/>
                <w:sz w:val="16"/>
                <w:szCs w:val="16"/>
                <w:rtl w:val="0"/>
              </w:rPr>
              <w:t xml:space="preserve">nd to respond to congressmen on an annual basis.</w:t>
            </w:r>
            <w:r w:rsidDel="00000000" w:rsidR="00000000" w:rsidRPr="00000000">
              <w:rPr>
                <w:rtl w:val="0"/>
              </w:rPr>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76" w:lineRule="auto"/>
              <w:ind w:left="0" w:right="153" w:firstLine="0"/>
              <w:rPr>
                <w:color w:val="000000"/>
                <w:sz w:val="16"/>
                <w:szCs w:val="16"/>
              </w:rPr>
            </w:pPr>
            <w:r w:rsidDel="00000000" w:rsidR="00000000" w:rsidRPr="00000000">
              <w:rPr>
                <w:rtl w:val="0"/>
              </w:rPr>
            </w:r>
          </w:p>
          <w:p w:rsidR="00000000" w:rsidDel="00000000" w:rsidP="00000000" w:rsidRDefault="00000000" w:rsidRPr="00000000" w14:paraId="0000012D">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left="108" w:right="153" w:firstLine="0"/>
              <w:rPr>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3A">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left="108" w:right="127" w:firstLine="0"/>
              <w:jc w:val="both"/>
              <w:rPr>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3"/>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rtl w:val="0"/>
              </w:rPr>
            </w:r>
          </w:p>
        </w:tc>
        <w:tc>
          <w:tcPr>
            <w:gridSpan w:val="3"/>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judiciary maintains appeal authority over enforcement orders levied by FTAC (Art. 7.17) and of disputes related to refusal to testify or provide documents due to confidentiality (Art. 6.5). The judiciary here is the Court of First Instance (trial court).</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58">
            <w:pPr>
              <w:spacing w:line="276" w:lineRule="auto"/>
              <w:ind w:left="108" w:firstLine="0"/>
              <w:rPr>
                <w:color w:val="000000"/>
                <w:sz w:val="16"/>
                <w:szCs w:val="16"/>
              </w:rPr>
            </w:pPr>
            <w:r w:rsidDel="00000000" w:rsidR="00000000" w:rsidRPr="00000000">
              <w:rPr>
                <w:i w:val="1"/>
                <w:sz w:val="16"/>
                <w:szCs w:val="16"/>
                <w:rtl w:val="0"/>
              </w:rPr>
              <w:t xml:space="preserve">[Aside from the relevant provisions please mention the judicial authority charged with the review.]</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left="108" w:right="120" w:firstLine="0"/>
              <w:rPr>
                <w:b w:val="1"/>
                <w:color w:val="000000"/>
                <w:sz w:val="16"/>
                <w:szCs w:val="16"/>
              </w:rPr>
            </w:pPr>
            <w:r w:rsidDel="00000000" w:rsidR="00000000" w:rsidRPr="00000000">
              <w:rPr>
                <w:b w:val="1"/>
                <w:color w:val="000000"/>
                <w:sz w:val="16"/>
                <w:szCs w:val="16"/>
                <w:rtl w:val="0"/>
              </w:rPr>
              <w:t xml:space="preserve">Other obligations/comments: </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ind w:left="108" w:right="120" w:firstLine="0"/>
              <w:rPr>
                <w:i w:val="1"/>
                <w:sz w:val="16"/>
                <w:szCs w:val="16"/>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180" w:hRule="atLeast"/>
          <w:tblHeader w:val="0"/>
        </w:trPr>
        <w:tc>
          <w:tcPr>
            <w:gridSpan w:val="2"/>
            <w:shd w:fill="d2c7b4" w:val="clea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color w:val="000000"/>
                <w:sz w:val="16"/>
                <w:szCs w:val="16"/>
                <w:rtl w:val="0"/>
              </w:rPr>
              <w:t xml:space="preserve">Criteria for appointment is expressly written in Chapter 2 and lists the procedure for nomination by an advisory committee and appointment by National Decree, the mandatory qualifications, ethical guidelines for financial interest, and incompatible other responsibilities. (Arts. 2.2-2.6). Removal is for cause and detailed in Article 2.9, with specific rules for suspension pending criminal investigations.</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ind w:left="90" w:right="192"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76" w:lineRule="auto"/>
              <w:ind w:left="90" w:right="192"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ind w:left="90" w:right="192" w:firstLine="0"/>
              <w:jc w:val="both"/>
              <w:rPr>
                <w:i w:val="1"/>
                <w:sz w:val="16"/>
                <w:szCs w:val="16"/>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ind w:left="90" w:right="192"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ind w:left="90" w:right="192"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ind w:left="90" w:right="192" w:firstLine="0"/>
              <w:jc w:val="both"/>
              <w:rPr>
                <w:sz w:val="16"/>
                <w:szCs w:val="16"/>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color w:val="000000"/>
                <w:sz w:val="16"/>
                <w:szCs w:val="16"/>
                <w:rtl w:val="0"/>
              </w:rPr>
              <w:t xml:space="preserve">FTAC adjudications of individual cases may not be vetoed, but the Minister of Economic Development retains authority over funding, rules of order, and policy rules (not relating to establishment of facts or interpretation of statutory requirements in specific situations)  guiding FTAC. (Arts. 2.15, 2.19, 2.21</w:t>
            </w:r>
            <w:r w:rsidDel="00000000" w:rsidR="00000000" w:rsidRPr="00000000">
              <w:rPr>
                <w:color w:val="000000"/>
                <w:sz w:val="16"/>
                <w:szCs w:val="16"/>
                <w:rtl w:val="0"/>
              </w:rPr>
              <w:t xml:space="preserve">)</w:t>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1" w:line="276" w:lineRule="auto"/>
              <w:ind w:left="90" w:right="192" w:firstLine="0"/>
              <w:jc w:val="both"/>
              <w:rPr>
                <w:color w:val="000000"/>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No</w:t>
            </w:r>
            <w:r w:rsidDel="00000000" w:rsidR="00000000" w:rsidRPr="00000000">
              <w:rPr>
                <w:rtl w:val="0"/>
              </w:rPr>
            </w:r>
          </w:p>
        </w:tc>
        <w:tc>
          <w:tcPr>
            <w:gridSpan w:val="6"/>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color w:val="000000"/>
                <w:sz w:val="16"/>
                <w:szCs w:val="16"/>
                <w:rtl w:val="0"/>
              </w:rPr>
              <w:t xml:space="preserve">While FTAC is required to publish reports following a determination of an infringement, the report </w:t>
            </w:r>
            <w:r w:rsidDel="00000000" w:rsidR="00000000" w:rsidRPr="00000000">
              <w:rPr>
                <w:color w:val="000000"/>
                <w:sz w:val="16"/>
                <w:szCs w:val="16"/>
                <w:rtl w:val="0"/>
              </w:rPr>
              <w:t xml:space="preserve">is only required </w:t>
            </w:r>
            <w:r w:rsidDel="00000000" w:rsidR="00000000" w:rsidRPr="00000000">
              <w:rPr>
                <w:color w:val="000000"/>
                <w:sz w:val="16"/>
                <w:szCs w:val="16"/>
                <w:rtl w:val="0"/>
              </w:rPr>
              <w:t xml:space="preserve">to include the party responsible for the infringement, the infringement, and a description of the infringement. (Art. 7.11). The FTAC is required to make reasonable efforts to ensure that parties subject to penalty understand the nature of the sanction.</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76" w:lineRule="auto"/>
              <w:ind w:left="90" w:right="192" w:firstLine="0"/>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ind w:left="90" w:right="192"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No</w:t>
            </w:r>
            <w:r w:rsidDel="00000000" w:rsidR="00000000" w:rsidRPr="00000000">
              <w:rPr>
                <w:rtl w:val="0"/>
              </w:rPr>
            </w:r>
          </w:p>
        </w:tc>
        <w:tc>
          <w:tcPr>
            <w:gridSpan w:val="6"/>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color w:val="000000"/>
                <w:sz w:val="16"/>
                <w:szCs w:val="16"/>
                <w:rtl w:val="0"/>
              </w:rPr>
              <w:t xml:space="preserve">The Minister for Economic Development retains veto authority over the budget of the FTAC, which is proposed by the FTAC itself. (Art. 2.21). The National Ordinance sets out the procedure for edits by the Minister as well as for when the Minister withholds approval outright – in which case the FTAC is authorized to only incur 90% of the expenses outlined in their budget proposal.</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ind w:left="90" w:right="192"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ind w:left="90" w:right="192" w:firstLine="0"/>
              <w:jc w:val="both"/>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color w:val="000000"/>
                <w:sz w:val="16"/>
                <w:szCs w:val="16"/>
                <w:rtl w:val="0"/>
              </w:rPr>
              <w:t xml:space="preserve">“Collected penalty payments and administrative fines refund the Country’s public resources.” (Art. 2.22(2)).</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ind w:left="90" w:right="192" w:firstLine="0"/>
              <w:jc w:val="both"/>
              <w:rPr>
                <w:color w:val="000000"/>
                <w:sz w:val="16"/>
                <w:szCs w:val="16"/>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ind w:left="90" w:right="192"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ind w:left="90" w:right="192"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1" w:line="276" w:lineRule="auto"/>
              <w:ind w:left="107" w:right="192" w:firstLine="0"/>
              <w:jc w:val="both"/>
              <w:rPr>
                <w:color w:val="000000"/>
                <w:sz w:val="16"/>
                <w:szCs w:val="16"/>
              </w:rPr>
            </w:pPr>
            <w:r w:rsidDel="00000000" w:rsidR="00000000" w:rsidRPr="00000000">
              <w:rPr>
                <w:color w:val="000000"/>
                <w:sz w:val="16"/>
                <w:szCs w:val="16"/>
                <w:rtl w:val="0"/>
              </w:rPr>
              <w:t xml:space="preserve">Collegiate body. </w:t>
            </w:r>
            <w:r w:rsidDel="00000000" w:rsidR="00000000" w:rsidRPr="00000000">
              <w:rPr>
                <w:color w:val="000000"/>
                <w:sz w:val="16"/>
                <w:szCs w:val="16"/>
                <w:rtl w:val="0"/>
              </w:rPr>
              <w:t xml:space="preserve">The organization is composed of between 3 and 5 members</w:t>
            </w:r>
            <w:r w:rsidDel="00000000" w:rsidR="00000000" w:rsidRPr="00000000">
              <w:rPr>
                <w:color w:val="000000"/>
                <w:sz w:val="16"/>
                <w:szCs w:val="16"/>
                <w:rtl w:val="0"/>
              </w:rPr>
              <w:t xml:space="preserve"> with a designated President and Vice President. (Art. 2.2)</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1" w:line="276" w:lineRule="auto"/>
              <w:ind w:left="107" w:right="192" w:firstLine="0"/>
              <w:jc w:val="both"/>
              <w:rPr>
                <w:color w:val="000000"/>
                <w:sz w:val="16"/>
                <w:szCs w:val="16"/>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before="1" w:line="276" w:lineRule="auto"/>
              <w:ind w:left="107" w:right="192"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before="1" w:line="276" w:lineRule="auto"/>
              <w:ind w:left="107" w:right="192" w:firstLine="0"/>
              <w:jc w:val="both"/>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ind w:left="108" w:right="192" w:firstLine="0"/>
              <w:jc w:val="both"/>
              <w:rPr>
                <w:color w:val="000000"/>
                <w:sz w:val="16"/>
                <w:szCs w:val="16"/>
              </w:rPr>
            </w:pPr>
            <w:r w:rsidDel="00000000" w:rsidR="00000000" w:rsidRPr="00000000">
              <w:rPr>
                <w:color w:val="000000"/>
                <w:sz w:val="16"/>
                <w:szCs w:val="16"/>
                <w:rtl w:val="0"/>
              </w:rPr>
              <w:t xml:space="preserve">Members of the body are nominated by a appointments committee composed of an external consulting agency, the President of the Common Court of Justice of Aruba, Curaçao, St. Maarten, and of Bonaire, St. Eustatius and Saba, and an existing member of the FTAC. A call for nominations is required to be made publicly. </w:t>
            </w:r>
            <w:r w:rsidDel="00000000" w:rsidR="00000000" w:rsidRPr="00000000">
              <w:rPr>
                <w:color w:val="000000"/>
                <w:sz w:val="16"/>
                <w:szCs w:val="16"/>
                <w:rtl w:val="0"/>
              </w:rPr>
              <w:t xml:space="preserve">The nominees from the committee are appointed via national decree. (Arts. 2.2-2.6).</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108" w:right="192" w:firstLine="0"/>
              <w:jc w:val="both"/>
              <w:rPr>
                <w:color w:val="000000"/>
                <w:sz w:val="16"/>
                <w:szCs w:val="16"/>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ind w:left="108" w:right="192" w:firstLine="0"/>
              <w:jc w:val="both"/>
              <w:rPr>
                <w:i w:val="1"/>
                <w:color w:val="000000"/>
                <w:sz w:val="16"/>
                <w:szCs w:val="16"/>
              </w:rPr>
            </w:pP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line="276" w:lineRule="auto"/>
              <w:ind w:left="108" w:right="192"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ind w:right="192"/>
              <w:jc w:val="both"/>
              <w:rPr>
                <w:color w:val="000000"/>
                <w:sz w:val="16"/>
                <w:szCs w:val="16"/>
              </w:rPr>
            </w:pPr>
            <w:r w:rsidDel="00000000" w:rsidR="00000000" w:rsidRPr="00000000">
              <w:rPr>
                <w:color w:val="000000"/>
                <w:sz w:val="16"/>
                <w:szCs w:val="16"/>
                <w:rtl w:val="0"/>
              </w:rPr>
              <w:t xml:space="preserve">Removal from FTAC is for cause and can be dismissed at their own request, upon turning 70, upon personally bankruptcy, upon severe dept, under new guardianship, criminal conviction, criminal investigation following a suspension period, mental or physical illness preventing performance of duties, misconduct, negligence, performance of incompatible other duties, or improper asset management. (Art. 2.9). Members of FTAC are appointed for a four-year term renewable once. (Art. 2.2).</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6" w:lineRule="auto"/>
              <w:ind w:right="192"/>
              <w:jc w:val="both"/>
              <w:rPr>
                <w:color w:val="000000"/>
                <w:sz w:val="16"/>
                <w:szCs w:val="16"/>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ind w:right="192"/>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ind w:right="192"/>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76" w:lineRule="auto"/>
              <w:ind w:right="192"/>
              <w:jc w:val="both"/>
              <w:rPr>
                <w:color w:val="000000"/>
                <w:sz w:val="16"/>
                <w:szCs w:val="16"/>
              </w:rPr>
            </w:pPr>
            <w:r w:rsidDel="00000000" w:rsidR="00000000" w:rsidRPr="00000000">
              <w:rPr>
                <w:color w:val="000000"/>
                <w:sz w:val="16"/>
                <w:szCs w:val="16"/>
                <w:rtl w:val="0"/>
              </w:rPr>
              <w:t xml:space="preserve">FTAC members may have their four-year appointment renewed once. (Art 2.2)</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ind w:right="192"/>
              <w:jc w:val="both"/>
              <w:rPr>
                <w:color w:val="000000"/>
                <w:sz w:val="16"/>
                <w:szCs w:val="16"/>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6" w:lineRule="auto"/>
              <w:ind w:right="192"/>
              <w:jc w:val="both"/>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ind w:right="192"/>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76" w:lineRule="auto"/>
              <w:ind w:right="192"/>
              <w:jc w:val="both"/>
              <w:rPr>
                <w:color w:val="000000"/>
                <w:sz w:val="16"/>
                <w:szCs w:val="16"/>
              </w:rPr>
            </w:pPr>
            <w:r w:rsidDel="00000000" w:rsidR="00000000" w:rsidRPr="00000000">
              <w:rPr>
                <w:color w:val="000000"/>
                <w:sz w:val="16"/>
                <w:szCs w:val="16"/>
                <w:rtl w:val="0"/>
              </w:rPr>
              <w:t xml:space="preserve">FTAC appointees must (1) be fluent in Dutch, (2) have 10 years of administrative experience, (3) be an expert in administrative, competition, or consumer law, (4) have completed an academic course of study, and (5) not have financial interests that could create conflicts of interest. (Art 2.5). Additionally, FTAC members are automatically removed upon turning 70. (Art 2.2).</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6" w:lineRule="auto"/>
              <w:ind w:right="192"/>
              <w:jc w:val="both"/>
              <w:rPr>
                <w:color w:val="000000"/>
                <w:sz w:val="16"/>
                <w:szCs w:val="16"/>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76" w:lineRule="auto"/>
              <w:ind w:right="192"/>
              <w:jc w:val="both"/>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76" w:lineRule="auto"/>
              <w:ind w:right="192"/>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Part of a Bigger Entity</w:t>
            </w:r>
            <w:r w:rsidDel="00000000" w:rsidR="00000000" w:rsidRPr="00000000">
              <w:rPr>
                <w:rtl w:val="0"/>
              </w:rPr>
            </w:r>
          </w:p>
        </w:tc>
        <w:tc>
          <w:tcPr>
            <w:gridSpan w:val="6"/>
          </w:tcPr>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902"/>
              </w:tabs>
              <w:spacing w:line="276" w:lineRule="auto"/>
              <w:ind w:left="108" w:right="120" w:firstLine="0"/>
              <w:rPr>
                <w:color w:val="000000"/>
                <w:sz w:val="16"/>
                <w:szCs w:val="16"/>
              </w:rPr>
            </w:pPr>
            <w:r w:rsidDel="00000000" w:rsidR="00000000" w:rsidRPr="00000000">
              <w:rPr>
                <w:color w:val="000000"/>
                <w:sz w:val="16"/>
                <w:szCs w:val="16"/>
                <w:rtl w:val="0"/>
              </w:rPr>
              <w:t xml:space="preserve">While FTAC members are only removable for enumerated, for-cause reasons and case decisions are not reviewable by the Ministry, the Minister for Economic Development retains control over the budget, operating procedures, and policy rules (not relating to establishment of facts or interpretation of statutory requirements in specific situations) of FTAC. (Arts. 2.15, 2.19, 2.21)</w:t>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leader="none" w:pos="902"/>
              </w:tabs>
              <w:spacing w:line="276" w:lineRule="auto"/>
              <w:ind w:left="108" w:right="120" w:firstLine="0"/>
              <w:rPr>
                <w:color w:val="000000"/>
                <w:sz w:val="16"/>
                <w:szCs w:val="16"/>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Exclusive </w:t>
            </w:r>
          </w:p>
        </w:tc>
        <w:tc>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w:t>
            </w: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before="1" w:line="276" w:lineRule="auto"/>
              <w:ind w:left="107" w:firstLine="0"/>
              <w:rPr>
                <w:i w:val="1"/>
                <w:sz w:val="16"/>
                <w:szCs w:val="1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Include any other mandates entrusted to the Competition Authority.]</w:t>
            </w:r>
            <w:r w:rsidDel="00000000" w:rsidR="00000000" w:rsidRPr="00000000">
              <w:rPr>
                <w:color w:val="000000"/>
                <w:sz w:val="16"/>
                <w:szCs w:val="16"/>
                <w:rtl w:val="0"/>
              </w:rPr>
              <w:t xml:space="preserve"> </w:t>
            </w:r>
          </w:p>
        </w:tc>
      </w:tr>
      <w:tr>
        <w:trPr>
          <w:cantSplit w:val="0"/>
          <w:trHeight w:val="463" w:hRule="atLeast"/>
          <w:tblHeader w:val="0"/>
        </w:trPr>
        <w:tc>
          <w:tcPr>
            <w:gridSpan w:val="12"/>
            <w:shd w:fill="b9a989" w:val="clea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FTAC has the ability to investigate any agreement or decision made by an undertaking that has the objective or effect of preventing, restricting, or distorting competition if the market share of the undertaking(s</w:t>
            </w:r>
            <w:r w:rsidDel="00000000" w:rsidR="00000000" w:rsidRPr="00000000">
              <w:rPr>
                <w:color w:val="000000"/>
                <w:sz w:val="16"/>
                <w:szCs w:val="16"/>
                <w:rtl w:val="0"/>
              </w:rPr>
              <w:t xml:space="preserve">) exceed 30% </w:t>
            </w:r>
            <w:r w:rsidDel="00000000" w:rsidR="00000000" w:rsidRPr="00000000">
              <w:rPr>
                <w:color w:val="000000"/>
                <w:sz w:val="16"/>
                <w:szCs w:val="16"/>
                <w:rtl w:val="0"/>
              </w:rPr>
              <w:t xml:space="preserve">of the market in which they operate (a 3.1 para. 1 violation). Additionally, the FTAC has the authority to investigate practices of all undertakings and agreements between undertakings that directly or indirectly (1) set selling prices or terms and conditions of sale, (2) set tender prices or tender bid conditions, (3) limit or control production or sales including refusal to deal, (4) market sharing behavior. (a 3.1 para. 2 violation) (Art. 3.1).</w:t>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In the case of a para. 1 violation, the FTAC may impose a binding directive and fines or penalty payments for repeat offenders. In the case of a para. 2 violation, the FTAC may impose administrative fine or penalty payment. Fines are limited to the greater </w:t>
            </w:r>
            <w:r w:rsidDel="00000000" w:rsidR="00000000" w:rsidRPr="00000000">
              <w:rPr>
                <w:color w:val="000000"/>
                <w:sz w:val="16"/>
                <w:szCs w:val="16"/>
                <w:rtl w:val="0"/>
              </w:rPr>
              <w:t xml:space="preserve">of NAf 1million </w:t>
            </w:r>
            <w:r w:rsidDel="00000000" w:rsidR="00000000" w:rsidRPr="00000000">
              <w:rPr>
                <w:color w:val="000000"/>
                <w:sz w:val="16"/>
                <w:szCs w:val="16"/>
                <w:rtl w:val="0"/>
              </w:rPr>
              <w:t xml:space="preserve">or 10% of the turnover of the undertaking/aggregate turnover of the undertakings. Penalties can be applied both to the legal entity and to individual persons responsible for the infraction. (Curaçao Penal Code Art. 1:127; N.O. Art. 7.1(6)) Individual persons can be held severally liable to the fines imposed on a legal entity.</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FTAC has the authority to investigate abuse of a dominant position defined as (1) directly or indirectly imposing unfair purchase or selling prices or other unfair trading conditions, (2) limiting production, market or technical development to the detriment of consumers, (3) applying dissimilar conditions to equivalent transactions, and (4) making the conclusion of contracts subject to other obligations unrelated with the subject of the contract. (Art. 4.1). If the action can be “objectively justified” it is not abuse. (Art. 4.1). </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FTAC may impose obligations for up to three years on the party and may do so anticipatorily “in urgent cases” (Art. 4.2-4.4). Additionally, the FTAC may impose fines for noncompliance. (Art. 7.1). Fines are limited to the greater of NAf 1million or 10% of the turnover of the undertaking/aggregate turnover of the undertakings. Penalties can be applied both to the legal entity and to individual persons responsible for the infraction. (Curaçao Penal Code Art. 1:127; N.O. Art. 7.1(6)) Individual persons can be held </w:t>
            </w:r>
            <w:r w:rsidDel="00000000" w:rsidR="00000000" w:rsidRPr="00000000">
              <w:rPr>
                <w:sz w:val="16"/>
                <w:szCs w:val="16"/>
                <w:rtl w:val="0"/>
              </w:rPr>
              <w:t xml:space="preserve">severely</w:t>
            </w:r>
            <w:r w:rsidDel="00000000" w:rsidR="00000000" w:rsidRPr="00000000">
              <w:rPr>
                <w:color w:val="000000"/>
                <w:sz w:val="16"/>
                <w:szCs w:val="16"/>
                <w:rtl w:val="0"/>
              </w:rPr>
              <w:t xml:space="preserve"> liable to the fines imposed on a legal entity.</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r w:rsidDel="00000000" w:rsidR="00000000" w:rsidRPr="00000000">
              <w:rPr>
                <w:rtl w:val="0"/>
              </w:rPr>
            </w:r>
          </w:p>
        </w:tc>
        <w:tc>
          <w:tcPr>
            <w:gridSpan w:val="3"/>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FTAC has the ability to review concentrations and its power but not to block or modify such concentrations. (Chapter 5, Art. 7.9). Concentration is </w:t>
            </w:r>
            <w:r w:rsidDel="00000000" w:rsidR="00000000" w:rsidRPr="00000000">
              <w:rPr>
                <w:sz w:val="16"/>
                <w:szCs w:val="16"/>
                <w:rtl w:val="0"/>
              </w:rPr>
              <w:t xml:space="preserve">defined as the</w:t>
            </w:r>
            <w:r w:rsidDel="00000000" w:rsidR="00000000" w:rsidRPr="00000000">
              <w:rPr>
                <w:color w:val="000000"/>
                <w:sz w:val="16"/>
                <w:szCs w:val="16"/>
                <w:rtl w:val="0"/>
              </w:rPr>
              <w:t xml:space="preserve"> merger of two or more previously independent undertakings or acquisition by one or more persons or legal entities that acquire the interests in capital or assets of another undertaking. Concentrations must be reported when the aggregate turnover over the previous calendar year exceeds ANG 125 Million of at which ANG 15 Million was realized in Curaçao by at least two concerned parties. (Art. 5.2) Additionally, concentrations must be reported if the concentration creates or increases a market share of 30% or more in Curaçao. The FTAC may impose fines not exceeding the greater of 1 Million NAf or 1% of the turnover for a failure to notify. (Art 7.2). Additionally, the FTAC may impose fines for providing incorrect or incomplete information with regards to a concentration notification. </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Concentrations must be reported when the aggregate turnover over the previous calendar year exceeds ANG 125 Million of at which ANG 15 Million was realized in Curaçao by at least two concerned parties. (Art. 5.2) Additionally, concentrations must be reported if the concentration creates or increases a market share of 30% or more in Curaçao. The FTAC may impose fines not exceeding the greater of 1 Million NAf or 1% of the turnover for a failure to notify. (Art 7.2). Additionally, the FTAC may impose fines for providing incorrect or incomplete information with regards to a concentration notification.</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N/A</w:t>
            </w:r>
          </w:p>
        </w:tc>
        <w:tc>
          <w:tcPr>
            <w:gridSpan w:val="3"/>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FTAC cannot block or modify a concentrating transaction and thus there is no decision-making that would have bearing on the closure of a transaction. There is only a duty to notify.</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the relevant </w:t>
            </w:r>
            <w:r w:rsidDel="00000000" w:rsidR="00000000" w:rsidRPr="00000000">
              <w:rPr>
                <w:i w:val="1"/>
                <w:color w:val="000000"/>
                <w:sz w:val="16"/>
                <w:szCs w:val="16"/>
                <w:rtl w:val="0"/>
              </w:rPr>
              <w:t xml:space="preserve">provisions and add any explanation that you deem necessary]</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r w:rsidDel="00000000" w:rsidR="00000000" w:rsidRPr="00000000">
              <w:rPr>
                <w:rtl w:val="0"/>
              </w:rPr>
            </w:r>
          </w:p>
        </w:tc>
        <w:tc>
          <w:tcPr>
            <w:gridSpan w:val="6"/>
          </w:tcPr>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[Please mention relevant provisions]</w:t>
            </w:r>
          </w:p>
        </w:tc>
      </w:tr>
      <w:tr>
        <w:trPr>
          <w:cantSplit w:val="0"/>
          <w:trHeight w:val="958" w:hRule="atLeast"/>
          <w:tblHeader w:val="0"/>
        </w:trPr>
        <w:tc>
          <w:tcPr>
            <w:gridSpan w:val="3"/>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the remedies that the Authority can impose; mention relevant provisions]  </w:t>
            </w:r>
          </w:p>
        </w:tc>
      </w:tr>
      <w:tr>
        <w:trPr>
          <w:cantSplit w:val="0"/>
          <w:trHeight w:val="958" w:hRule="atLeast"/>
          <w:tblHeader w:val="0"/>
        </w:trPr>
        <w:tc>
          <w:tcPr>
            <w:gridSpan w:val="3"/>
          </w:tcPr>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FTAC is authorized to access all areas, with the exception of homes, without the express consent of a resident as well as examine vessels. (Art. 6.2) No express limitation is given regarding timeframe.</w:t>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30A">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FTAC may launch an investigation </w:t>
            </w:r>
            <w:r w:rsidDel="00000000" w:rsidR="00000000" w:rsidRPr="00000000">
              <w:rPr>
                <w:i w:val="1"/>
                <w:color w:val="000000"/>
                <w:sz w:val="16"/>
                <w:szCs w:val="16"/>
                <w:rtl w:val="0"/>
              </w:rPr>
              <w:t xml:space="preserve">ex officio</w:t>
            </w:r>
            <w:r w:rsidDel="00000000" w:rsidR="00000000" w:rsidRPr="00000000">
              <w:rPr>
                <w:color w:val="000000"/>
                <w:sz w:val="16"/>
                <w:szCs w:val="16"/>
                <w:rtl w:val="0"/>
              </w:rPr>
              <w:t xml:space="preserve"> or in response to an applications.” (Art. 6.1(2))</w:t>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[Please, mention the relevant provisions]</w:t>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r w:rsidDel="00000000" w:rsidR="00000000" w:rsidRPr="00000000">
              <w:rPr>
                <w:rtl w:val="0"/>
              </w:rPr>
            </w:r>
          </w:p>
        </w:tc>
        <w:tc>
          <w:tcPr>
            <w:gridSpan w:val="3"/>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There is no explicit leniency or immunity provision in the National Ordinance or any regulatory document promulgated by the FTAC. However, all penalties are on a “may impose” basis and thus the FTAC retains discretionary authority.</w:t>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seek criminal punishment?</w:t>
            </w:r>
          </w:p>
        </w:tc>
        <w:tc>
          <w:tcPr>
            <w:gridSpan w:val="6"/>
          </w:tcPr>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  </w:t>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35">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The Minister of Economic Development may request that FTAC provide advice regarding the impact of proposed or applicable legislation on competition. Additionally, FTAC may provide such advice on its own initiative. (Art. 2.17)</w:t>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76" w:lineRule="auto"/>
              <w:ind w:left="107" w:right="43" w:firstLine="0"/>
              <w:rPr>
                <w:i w:val="1"/>
                <w:color w:val="000000"/>
                <w:sz w:val="16"/>
                <w:szCs w:val="16"/>
              </w:rPr>
            </w:pPr>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76" w:lineRule="auto"/>
              <w:ind w:left="107" w:right="43" w:firstLine="0"/>
              <w:rPr>
                <w:i w:val="1"/>
                <w:color w:val="000000"/>
                <w:sz w:val="16"/>
                <w:szCs w:val="16"/>
              </w:rPr>
            </w:pPr>
            <w:r w:rsidDel="00000000" w:rsidR="00000000" w:rsidRPr="00000000">
              <w:rPr>
                <w:i w:val="1"/>
                <w:color w:val="000000"/>
                <w:sz w:val="16"/>
                <w:szCs w:val="16"/>
                <w:rtl w:val="0"/>
              </w:rPr>
              <w:t xml:space="preserve">[if the answer is yes, please specify if there is any kind of limitation to the agency’s authority to issue opinions, include relevant provisions]</w:t>
            </w:r>
          </w:p>
        </w:tc>
      </w:tr>
      <w:tr>
        <w:trPr>
          <w:cantSplit w:val="0"/>
          <w:trHeight w:val="717" w:hRule="atLeast"/>
          <w:tblHeader w:val="0"/>
        </w:trPr>
        <w:tc>
          <w:tcPr>
            <w:gridSpan w:val="3"/>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53">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59">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color w:val="000000"/>
                <w:sz w:val="16"/>
                <w:szCs w:val="16"/>
                <w:rtl w:val="0"/>
              </w:rPr>
              <w:t xml:space="preserve">[if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5D">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6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6C">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Subject to approval.</w:t>
            </w:r>
          </w:p>
        </w:tc>
        <w:tc>
          <w:tcPr/>
          <w:p w:rsidR="00000000" w:rsidDel="00000000" w:rsidP="00000000" w:rsidRDefault="00000000" w:rsidRPr="00000000" w14:paraId="00000372">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4"/>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sdt>
              <w:sdtPr>
                <w:tag w:val="goog_rdk_5"/>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8B">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8D">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91">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Yes. </w:t>
            </w:r>
            <w:r w:rsidDel="00000000" w:rsidR="00000000" w:rsidRPr="00000000">
              <w:rPr>
                <w:rtl w:val="0"/>
              </w:rPr>
            </w:r>
          </w:p>
        </w:tc>
        <w:tc>
          <w:tcPr>
            <w:gridSpan w:val="3"/>
            <w:shd w:fill="auto" w:val="clear"/>
          </w:tcPr>
          <w:p w:rsidR="00000000" w:rsidDel="00000000" w:rsidP="00000000" w:rsidRDefault="00000000" w:rsidRPr="00000000" w14:paraId="00000396">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“The FTAC may establish policy rules concerning the performance of </w:t>
            </w:r>
            <w:r w:rsidDel="00000000" w:rsidR="00000000" w:rsidRPr="00000000">
              <w:rPr>
                <w:sz w:val="16"/>
                <w:szCs w:val="16"/>
                <w:rtl w:val="0"/>
              </w:rPr>
              <w:t xml:space="preserve">its</w:t>
            </w:r>
            <w:r w:rsidDel="00000000" w:rsidR="00000000" w:rsidRPr="00000000">
              <w:rPr>
                <w:color w:val="000000"/>
                <w:sz w:val="16"/>
                <w:szCs w:val="16"/>
                <w:rtl w:val="0"/>
              </w:rPr>
              <w:t xml:space="preserve"> duties” </w:t>
            </w:r>
            <w:r w:rsidDel="00000000" w:rsidR="00000000" w:rsidRPr="00000000">
              <w:rPr>
                <w:color w:val="000000"/>
                <w:sz w:val="16"/>
                <w:szCs w:val="16"/>
                <w:rtl w:val="0"/>
              </w:rPr>
              <w:t xml:space="preserve">(Art. 2.16).</w:t>
            </w:r>
            <w:r w:rsidDel="00000000" w:rsidR="00000000" w:rsidRPr="00000000">
              <w:rPr>
                <w:color w:val="000000"/>
                <w:sz w:val="16"/>
                <w:szCs w:val="16"/>
                <w:rtl w:val="0"/>
              </w:rPr>
              <w:t xml:space="preserve"> The Minister of Economic Development may establish policy rules not relating to establishment of facts or interpretation of statutory requirements in specific situations. (Art. 2.19).</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399">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A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3AB">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B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Yes. (Art. 2.14)</w:t>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Yes. Such research must be made public and available for inspection. (Art. 2.14)</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3E2">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color w:val="000000"/>
                <w:sz w:val="16"/>
                <w:szCs w:val="16"/>
                <w:rtl w:val="0"/>
              </w:rPr>
              <w:t xml:space="preserve">“The FTAC may launch an investigation </w:t>
            </w:r>
            <w:r w:rsidDel="00000000" w:rsidR="00000000" w:rsidRPr="00000000">
              <w:rPr>
                <w:i w:val="1"/>
                <w:color w:val="000000"/>
                <w:sz w:val="16"/>
                <w:szCs w:val="16"/>
                <w:rtl w:val="0"/>
              </w:rPr>
              <w:t xml:space="preserve">ex officio</w:t>
            </w:r>
            <w:r w:rsidDel="00000000" w:rsidR="00000000" w:rsidRPr="00000000">
              <w:rPr>
                <w:color w:val="000000"/>
                <w:sz w:val="16"/>
                <w:szCs w:val="16"/>
                <w:rtl w:val="0"/>
              </w:rPr>
              <w:t xml:space="preserve"> or in response to an applications.” (Art. 6.1(2)). Additionally, penalties imposed as the result of infractions are made by the FTAC unilaterally subject to appeal and limitations through the National Order (Chapter 7).</w:t>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76" w:lineRule="auto"/>
              <w:ind w:left="90" w:right="180" w:firstLine="0"/>
              <w:jc w:val="both"/>
              <w:rPr>
                <w:i w:val="1"/>
                <w:color w:val="000000"/>
                <w:sz w:val="16"/>
                <w:szCs w:val="16"/>
              </w:rPr>
            </w:pP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line="276" w:lineRule="auto"/>
              <w:ind w:left="90" w:right="180"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76" w:lineRule="auto"/>
              <w:ind w:left="90" w:right="18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3F2">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F8">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color w:val="000000"/>
                <w:sz w:val="16"/>
                <w:szCs w:val="16"/>
                <w:rtl w:val="0"/>
              </w:rPr>
              <w:t xml:space="preserve">The FTAC does not have authority to impose criminal liability. However, the FTAC may unilaterally impose binding directives to firms, administrative fines, or penalty payments (Article 7.1(1))</w:t>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76" w:lineRule="auto"/>
              <w:ind w:left="90" w:right="180"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76" w:lineRule="auto"/>
              <w:ind w:left="90" w:right="180"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F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402">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08">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color w:val="000000"/>
                <w:sz w:val="16"/>
                <w:szCs w:val="16"/>
                <w:rtl w:val="0"/>
              </w:rPr>
              <w:t xml:space="preserve">The FTAC </w:t>
            </w:r>
            <w:r w:rsidDel="00000000" w:rsidR="00000000" w:rsidRPr="00000000">
              <w:rPr>
                <w:color w:val="000000"/>
                <w:sz w:val="16"/>
                <w:szCs w:val="16"/>
                <w:rtl w:val="0"/>
              </w:rPr>
              <w:t xml:space="preserve">acts as the unilateral competition enforcement agency. The FTAC has the authority to launch investigations under its mandate </w:t>
            </w:r>
            <w:r w:rsidDel="00000000" w:rsidR="00000000" w:rsidRPr="00000000">
              <w:rPr>
                <w:i w:val="1"/>
                <w:color w:val="000000"/>
                <w:sz w:val="16"/>
                <w:szCs w:val="16"/>
                <w:rtl w:val="0"/>
              </w:rPr>
              <w:t xml:space="preserve">ex officio</w:t>
            </w:r>
            <w:r w:rsidDel="00000000" w:rsidR="00000000" w:rsidRPr="00000000">
              <w:rPr>
                <w:color w:val="000000"/>
                <w:sz w:val="16"/>
                <w:szCs w:val="16"/>
                <w:rtl w:val="0"/>
              </w:rPr>
              <w:t xml:space="preserve"> or in response to applications. (Art. 6.1(2)). If an application is made, the FTAC is required to decide on its course of action no later than four months after receipt, but subject to a two-month extension. (Art. 3.4) There is a five-year statute of limitations for pursuing administrative punishment. (Art 7.9). Following an investigation that the FTAC determines was in response to an infraction, the FTAC must issue a report detailing the parties responsible, the infringement, and details regarding time and place of the infringement. Draft decisions must be made publicly available after 5 days following notification to parties (Art. 8.1). Interested parties may present oral or written comment on the draft, which must be included in the final report. (Art. 8.4). The comment period lasts six weeks (Art. 8.5).</w:t>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color w:val="000000"/>
                <w:sz w:val="16"/>
                <w:szCs w:val="16"/>
                <w:rtl w:val="0"/>
              </w:rPr>
              <w:t xml:space="preserve">Fines, where applicable, must be paid within 13 weeks of a decision. Appeals regarding decision must be made within six weeks of receipt of the report and the appeal suspends implementation of administrative action. </w:t>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line="276" w:lineRule="auto"/>
              <w:ind w:left="90" w:right="180" w:firstLine="0"/>
              <w:jc w:val="both"/>
              <w:rPr>
                <w:i w:val="1"/>
                <w:color w:val="000000"/>
                <w:sz w:val="16"/>
                <w:szCs w:val="16"/>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line="276" w:lineRule="auto"/>
              <w:ind w:left="90" w:right="180" w:firstLine="0"/>
              <w:jc w:val="both"/>
              <w:rPr>
                <w:i w:val="1"/>
                <w:color w:val="000000"/>
                <w:sz w:val="16"/>
                <w:szCs w:val="16"/>
              </w:rPr>
            </w:pP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40E">
            <w:pPr>
              <w:pBdr>
                <w:top w:space="0" w:sz="0" w:val="nil"/>
                <w:left w:space="0" w:sz="0" w:val="nil"/>
                <w:bottom w:space="0" w:sz="0" w:val="nil"/>
                <w:right w:space="0" w:sz="0" w:val="nil"/>
                <w:between w:space="0" w:sz="0" w:val="nil"/>
              </w:pBdr>
              <w:spacing w:line="276" w:lineRule="auto"/>
              <w:ind w:left="90" w:right="18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1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color w:val="000000"/>
                <w:sz w:val="16"/>
                <w:szCs w:val="16"/>
                <w:rtl w:val="0"/>
              </w:rPr>
              <w:t xml:space="preserve">The judiciary maintains appeal authority over enforcement orders levied by FTAC (Art. 7.17) and of disputes related to refusal to testify or provide documents due to confidentiality (Art. 6.5). The judiciary here is the Court of First Instance (trial court).</w:t>
            </w:r>
          </w:p>
          <w:p w:rsidR="00000000" w:rsidDel="00000000" w:rsidP="00000000" w:rsidRDefault="00000000" w:rsidRPr="00000000" w14:paraId="0000041D">
            <w:pPr>
              <w:pBdr>
                <w:top w:space="0" w:sz="0" w:val="nil"/>
                <w:left w:space="0" w:sz="0" w:val="nil"/>
                <w:bottom w:space="0" w:sz="0" w:val="nil"/>
                <w:right w:space="0" w:sz="0" w:val="nil"/>
                <w:between w:space="0" w:sz="0" w:val="nil"/>
              </w:pBdr>
              <w:spacing w:line="276" w:lineRule="auto"/>
              <w:ind w:left="90" w:right="180" w:firstLine="0"/>
              <w:jc w:val="both"/>
              <w:rPr>
                <w:color w:val="000000"/>
                <w:sz w:val="16"/>
                <w:szCs w:val="16"/>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line="276" w:lineRule="auto"/>
              <w:ind w:left="90" w:right="180" w:firstLine="0"/>
              <w:jc w:val="both"/>
              <w:rPr>
                <w:i w:val="1"/>
                <w:color w:val="000000"/>
                <w:sz w:val="16"/>
                <w:szCs w:val="16"/>
              </w:rPr>
            </w:pPr>
            <w:r w:rsidDel="00000000" w:rsidR="00000000" w:rsidRPr="00000000">
              <w:rPr>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line="276" w:lineRule="auto"/>
              <w:ind w:left="90" w:right="180" w:firstLine="0"/>
              <w:jc w:val="both"/>
              <w:rPr>
                <w:i w:val="1"/>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2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2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bl>
    <w:p w:rsidR="00000000" w:rsidDel="00000000" w:rsidP="00000000" w:rsidRDefault="00000000" w:rsidRPr="00000000" w14:paraId="0000042E">
      <w:pPr>
        <w:spacing w:line="276" w:lineRule="auto"/>
        <w:rPr>
          <w:sz w:val="16"/>
          <w:szCs w:val="16"/>
        </w:rPr>
      </w:pPr>
      <w:r w:rsidDel="00000000" w:rsidR="00000000" w:rsidRPr="00000000">
        <w:rPr>
          <w:rtl w:val="0"/>
        </w:rPr>
      </w:r>
    </w:p>
    <w:p w:rsidR="00000000" w:rsidDel="00000000" w:rsidP="00000000" w:rsidRDefault="00000000" w:rsidRPr="00000000" w14:paraId="0000042F">
      <w:pPr>
        <w:spacing w:line="276" w:lineRule="auto"/>
        <w:ind w:left="1610" w:right="1610" w:firstLine="0"/>
        <w:jc w:val="center"/>
        <w:rPr>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1">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0">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tac.cw/wp-content/uploads/2018/07/Samenwerkingsprotocol-FTAC-CBCS-zonder-handtekening.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n/5Z+IEpD+BVaPXmYrXNR9i2pw==">CgMxLjAaFAoBMBIPCg0IB0IJEgdHdW5nc3VoGhQKATESDwoNCAdCCRIHR3VuZ3N1aBoUCgEyEg8KDQgHQgkSB0d1bmdzdWgaFAoBMxIPCg0IB0IJEgdHdW5nc3VoGhQKATQSDwoNCAdCCRIHR3VuZ3N1aBoUCgE1Eg8KDQgHQgkSB0d1bmdzdWg4AGpJCjVzdWdnZXN0SWRJbXBvcnRjZDAzZTg4Yi0wODZmLTQ0OTctOTI0MC00NGZiZDhiZTNlODNfNBIQQWxlamFuZHJvIEliYXJyYXIhMUt0RU1BRDQ5dnA3alJpTFp1UFF2c09qUHZZc1NwQ1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2023-07-09T00:18:00Z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y fmtid="{D5CDD505-2E9C-101B-9397-08002B2CF9AE}" pid="5" name="GrammarlyDocumentId">
    <vt:lpwstr>067b194dfe26deadb13b172b2c9b79bb58d82e178905fb64e4cd985df83e3cca</vt:lpwstr>
  </property>
</Properties>
</file>