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Style w:val="Heading1"/>
              <w:spacing w:line="276" w:lineRule="auto"/>
              <w:rPr>
                <w:b w:val="1"/>
                <w:color w:val="000000"/>
                <w:sz w:val="24"/>
                <w:szCs w:val="24"/>
              </w:rPr>
            </w:pPr>
            <w:bookmarkStart w:colFirst="0" w:colLast="0" w:name="_heading=h.tcoizf4vi75j" w:id="0"/>
            <w:bookmarkEnd w:id="0"/>
            <w:r w:rsidDel="00000000" w:rsidR="00000000" w:rsidRPr="00000000">
              <w:rPr>
                <w:rtl w:val="0"/>
              </w:rPr>
              <w:t xml:space="preserve">Guernsey</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Competition Framework</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right="120" w:firstLine="0"/>
              <w:jc w:val="both"/>
              <w:rPr>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left="107" w:right="120" w:firstLine="0"/>
              <w:jc w:val="both"/>
              <w:rPr>
                <w:color w:val="000000"/>
                <w:sz w:val="16"/>
                <w:szCs w:val="16"/>
              </w:rPr>
            </w:pPr>
            <w:r w:rsidDel="00000000" w:rsidR="00000000" w:rsidRPr="00000000">
              <w:rPr>
                <w:color w:val="000000"/>
                <w:sz w:val="16"/>
                <w:szCs w:val="16"/>
                <w:rtl w:val="0"/>
              </w:rPr>
              <w:t xml:space="preserve">The Competition (Enabling Provisions) (Guernsey) Law, 2009</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07" w:right="120" w:firstLine="0"/>
              <w:jc w:val="both"/>
              <w:rPr>
                <w:color w:val="000000"/>
                <w:sz w:val="16"/>
                <w:szCs w:val="16"/>
              </w:rPr>
            </w:pPr>
            <w:r w:rsidDel="00000000" w:rsidR="00000000" w:rsidRPr="00000000">
              <w:rPr>
                <w:color w:val="000000"/>
                <w:sz w:val="16"/>
                <w:szCs w:val="16"/>
                <w:rtl w:val="0"/>
              </w:rPr>
              <w:t xml:space="preserve">The Competition (Guernsey) Ordinance, 2012</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left="107" w:right="120" w:firstLine="0"/>
              <w:jc w:val="both"/>
              <w:rPr>
                <w:color w:val="000000"/>
                <w:sz w:val="16"/>
                <w:szCs w:val="16"/>
              </w:rPr>
            </w:pPr>
            <w:r w:rsidDel="00000000" w:rsidR="00000000" w:rsidRPr="00000000">
              <w:rPr>
                <w:color w:val="000000"/>
                <w:sz w:val="16"/>
                <w:szCs w:val="16"/>
                <w:rtl w:val="0"/>
              </w:rPr>
              <w:t xml:space="preserve">The Guernsey Competition and Regulatory Authority Ordinance, 2012</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76" w:lineRule="auto"/>
              <w:ind w:left="107" w:right="120" w:firstLine="0"/>
              <w:jc w:val="both"/>
              <w:rPr>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276" w:lineRule="auto"/>
              <w:ind w:left="107"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name of the laws constituting the National Competition Law Regime. Include the year of enaction and the corresponding amendments as well.]</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276" w:lineRule="auto"/>
              <w:ind w:left="107" w:right="120" w:firstLine="0"/>
              <w:jc w:val="both"/>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7" w:right="120" w:firstLine="0"/>
              <w:jc w:val="both"/>
              <w:rPr>
                <w:sz w:val="16"/>
                <w:szCs w:val="16"/>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7" w:right="120" w:firstLine="0"/>
              <w:jc w:val="both"/>
              <w:rPr>
                <w:color w:val="0000ff"/>
                <w:sz w:val="10"/>
                <w:szCs w:val="10"/>
                <w:u w:val="single"/>
              </w:rPr>
            </w:pPr>
            <w:r w:rsidDel="00000000" w:rsidR="00000000" w:rsidRPr="00000000">
              <w:rPr>
                <w:color w:val="000000"/>
                <w:sz w:val="16"/>
                <w:szCs w:val="16"/>
                <w:rtl w:val="0"/>
              </w:rPr>
              <w:t xml:space="preserve">Guernsey Competition &amp;. Regulatory Authority (GCRA). Established by The Guernsey Competition and Regulatory Authority Ordinance of 2012. https://www.gcra.gg</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467" w:right="120" w:firstLine="0"/>
              <w:jc w:val="both"/>
              <w:rPr>
                <w:color w:val="000000"/>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07"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467" w:right="120" w:firstLine="0"/>
              <w:jc w:val="both"/>
              <w:rPr>
                <w:color w:val="000000"/>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D">
            <w:pPr>
              <w:pStyle w:val="Heading2"/>
              <w:spacing w:before="119" w:line="276" w:lineRule="auto"/>
              <w:ind w:left="3840" w:right="3834" w:firstLine="0"/>
              <w:jc w:val="center"/>
              <w:rPr/>
            </w:pPr>
            <w:bookmarkStart w:colFirst="0" w:colLast="0" w:name="_heading=h.k3bbcbryu7d4" w:id="1"/>
            <w:bookmarkEnd w:id="1"/>
            <w:r w:rsidDel="00000000" w:rsidR="00000000" w:rsidRPr="00000000">
              <w:rPr>
                <w:rtl w:val="0"/>
              </w:rPr>
              <w:t xml:space="preserve">Policy-Making Agents</w:t>
            </w:r>
          </w:p>
          <w:p w:rsidR="00000000" w:rsidDel="00000000" w:rsidP="00000000" w:rsidRDefault="00000000" w:rsidRPr="00000000" w14:paraId="0000003E">
            <w:pPr>
              <w:pStyle w:val="Heading2"/>
              <w:spacing w:before="119" w:line="276" w:lineRule="auto"/>
              <w:ind w:left="3059" w:right="3050" w:firstLine="0"/>
              <w:jc w:val="center"/>
              <w:rPr/>
            </w:pPr>
            <w:bookmarkStart w:colFirst="0" w:colLast="0" w:name="_heading=h.1iaozkun3l17" w:id="2"/>
            <w:bookmarkEnd w:id="2"/>
            <w:r w:rsidDel="00000000" w:rsidR="00000000" w:rsidRPr="00000000">
              <w:rPr>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360"/>
              </w:tabs>
              <w:spacing w:before="119" w:line="276" w:lineRule="auto"/>
              <w:ind w:left="107" w:right="225" w:firstLine="0"/>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One, the GCRA. The GCRA has the sole authority to regulate competition through investigations of abuse of a dominant position, anticompetitive practices, and merger review. Additionally, the GCRA has specific competition mandates over the utilities, post, and telecommunications industries. The GCRA imposes only financial penalties for violations of the Competition Law. However, the GCRA may seek criminal penalties before the Royal Court for falsification of documents, failure to comply with a valid order to produce documents, or disclosure of confidential material. Investigations and findings of guilt are made by the GCRA but are appealable to the judiciary.</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19" w:line="276" w:lineRule="auto"/>
              <w:ind w:left="0" w:right="86" w:firstLine="0"/>
              <w:jc w:val="both"/>
              <w:rPr>
                <w:color w:val="000000"/>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9" w:line="276" w:lineRule="auto"/>
              <w:ind w:left="107" w:right="86" w:firstLine="0"/>
              <w:jc w:val="both"/>
              <w:rPr>
                <w:i w:val="1"/>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19" w:line="276" w:lineRule="auto"/>
              <w:ind w:left="107" w:right="86" w:firstLine="0"/>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19" w:line="276" w:lineRule="auto"/>
              <w:ind w:right="225"/>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19" w:line="276" w:lineRule="auto"/>
              <w:ind w:left="180" w:right="96" w:firstLine="0"/>
              <w:jc w:val="both"/>
              <w:rPr>
                <w:color w:val="000000"/>
                <w:sz w:val="16"/>
                <w:szCs w:val="16"/>
              </w:rPr>
            </w:pPr>
            <w:r w:rsidDel="00000000" w:rsidR="00000000" w:rsidRPr="00000000">
              <w:rPr>
                <w:color w:val="000000"/>
                <w:sz w:val="16"/>
                <w:szCs w:val="16"/>
                <w:rtl w:val="0"/>
              </w:rPr>
              <w:t xml:space="preserve">No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19" w:line="276" w:lineRule="auto"/>
              <w:ind w:left="180" w:right="96" w:firstLine="0"/>
              <w:jc w:val="both"/>
              <w:rPr>
                <w:i w:val="1"/>
                <w:color w:val="000000"/>
                <w:sz w:val="16"/>
                <w:szCs w:val="16"/>
              </w:rPr>
            </w:pPr>
            <w:r w:rsidDel="00000000" w:rsidR="00000000" w:rsidRPr="00000000">
              <w:rPr>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19" w:line="276" w:lineRule="auto"/>
              <w:ind w:left="180" w:right="96" w:firstLine="0"/>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19" w:line="276" w:lineRule="auto"/>
              <w:ind w:left="107" w:right="225" w:firstLine="0"/>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19" w:line="276" w:lineRule="auto"/>
              <w:ind w:left="180" w:right="96" w:firstLine="0"/>
              <w:jc w:val="both"/>
              <w:rPr/>
            </w:pPr>
            <w:r w:rsidDel="00000000" w:rsidR="00000000" w:rsidRPr="00000000">
              <w:rPr>
                <w:sz w:val="16"/>
                <w:szCs w:val="16"/>
                <w:rtl w:val="0"/>
              </w:rPr>
              <w:t xml:space="preserve">While not with other sector regulators within Guernsey, the GCRA has signed Memorandums of Understanding with the competition authorities of other jurisdictions in the Channel Islands. (</w:t>
            </w:r>
            <w:hyperlink r:id="rId7">
              <w:r w:rsidDel="00000000" w:rsidR="00000000" w:rsidRPr="00000000">
                <w:rPr>
                  <w:color w:val="0000ff"/>
                  <w:sz w:val="16"/>
                  <w:szCs w:val="16"/>
                  <w:u w:val="single"/>
                  <w:rtl w:val="0"/>
                </w:rPr>
                <w:t xml:space="preserve">For Example</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9" w:line="276" w:lineRule="auto"/>
              <w:ind w:left="180" w:right="96"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here any provision or interinstitutional agreement that allows the competition authorities to coordinate behavior to effectively enforce competition law]</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19" w:line="276" w:lineRule="auto"/>
              <w:ind w:left="180" w:right="96"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75">
            <w:pPr>
              <w:pStyle w:val="Heading2"/>
              <w:spacing w:before="119" w:line="276" w:lineRule="auto"/>
              <w:ind w:left="3059" w:right="3050" w:firstLine="0"/>
              <w:jc w:val="center"/>
              <w:rPr/>
            </w:pPr>
            <w:bookmarkStart w:colFirst="0" w:colLast="0" w:name="_heading=h.dguwzanif64y" w:id="3"/>
            <w:bookmarkEnd w:id="3"/>
            <w:r w:rsidDel="00000000" w:rsidR="00000000" w:rsidRPr="00000000">
              <w:rPr>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19" w:line="276" w:lineRule="auto"/>
              <w:ind w:right="114"/>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86">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19" w:line="276" w:lineRule="auto"/>
              <w:ind w:left="107" w:right="43"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19" w:line="276" w:lineRule="auto"/>
              <w:ind w:left="107" w:right="43" w:firstLine="0"/>
              <w:jc w:val="both"/>
              <w:rPr>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19" w:line="276" w:lineRule="auto"/>
              <w:ind w:right="114"/>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93">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19" w:line="276" w:lineRule="auto"/>
              <w:ind w:right="44"/>
              <w:rPr>
                <w:color w:val="000000"/>
                <w:sz w:val="16"/>
                <w:szCs w:val="16"/>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19" w:line="276" w:lineRule="auto"/>
              <w:ind w:left="107" w:right="44"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19" w:line="276" w:lineRule="auto"/>
              <w:ind w:left="107" w:right="44"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19" w:line="276" w:lineRule="auto"/>
              <w:ind w:right="114"/>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A1">
            <w:pPr>
              <w:spacing w:line="276" w:lineRule="auto"/>
              <w:jc w:val="center"/>
              <w:rPr>
                <w:sz w:val="16"/>
                <w:szCs w:val="16"/>
              </w:rPr>
            </w:pPr>
            <w:r w:rsidDel="00000000" w:rsidR="00000000" w:rsidRPr="00000000">
              <w:rPr>
                <w:sz w:val="16"/>
                <w:szCs w:val="16"/>
                <w:rtl w:val="0"/>
              </w:rPr>
              <w:t xml:space="preserve">Yes</w:t>
            </w:r>
          </w:p>
        </w:tc>
        <w:tc>
          <w:tcPr>
            <w:gridSpan w:val="4"/>
            <w:shd w:fill="auto"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19" w:line="276" w:lineRule="auto"/>
              <w:ind w:right="44"/>
              <w:rPr>
                <w:color w:val="000000"/>
                <w:sz w:val="16"/>
                <w:szCs w:val="16"/>
              </w:rPr>
            </w:pPr>
            <w:r w:rsidDel="00000000" w:rsidR="00000000" w:rsidRPr="00000000">
              <w:rPr>
                <w:color w:val="000000"/>
                <w:sz w:val="16"/>
                <w:szCs w:val="16"/>
                <w:rtl w:val="0"/>
              </w:rPr>
              <w:t xml:space="preserve"> Persons aggrieved by actions in violation of the Competition Ordinance may bring an action in tort “in the same manner and by the same means of the same remedies as in the case of a breach of statutory duty.” § 42(2). In such cases the court may award punitive or exemplary damages, injunctive relief, or a declaratory judgement. § 42(3). An aggrieved person must be an individual who has suffered or is likely to suffer economic loss or damage as a result of an actual or apprehended breach of the ordinance. § 42(10).</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19" w:line="276" w:lineRule="auto"/>
              <w:ind w:right="44"/>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19" w:line="276" w:lineRule="auto"/>
              <w:ind w:right="44"/>
              <w:rPr>
                <w:i w:val="1"/>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19" w:line="276" w:lineRule="auto"/>
              <w:ind w:left="107" w:right="222" w:firstLine="0"/>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6">
            <w:pPr>
              <w:pStyle w:val="Heading2"/>
              <w:spacing w:before="119" w:line="276" w:lineRule="auto"/>
              <w:ind w:left="3059" w:right="3050" w:firstLine="0"/>
              <w:jc w:val="center"/>
              <w:rPr/>
            </w:pPr>
            <w:bookmarkStart w:colFirst="0" w:colLast="0" w:name="_heading=h.vekbgsubdv6n" w:id="4"/>
            <w:bookmarkEnd w:id="4"/>
            <w:r w:rsidDel="00000000" w:rsidR="00000000" w:rsidRPr="00000000">
              <w:rPr>
                <w:rtl w:val="0"/>
              </w:rPr>
              <w:t xml:space="preserve">Guernsey Competition &amp; Regulatory Authority</w:t>
            </w:r>
          </w:p>
          <w:p w:rsidR="00000000" w:rsidDel="00000000" w:rsidP="00000000" w:rsidRDefault="00000000" w:rsidRPr="00000000" w14:paraId="000000B7">
            <w:pPr>
              <w:pStyle w:val="Heading2"/>
              <w:spacing w:before="119" w:line="276" w:lineRule="auto"/>
              <w:ind w:left="3059" w:right="3050" w:firstLine="0"/>
              <w:jc w:val="center"/>
              <w:rPr/>
            </w:pPr>
            <w:bookmarkStart w:colFirst="0" w:colLast="0" w:name="_heading=h.9pbxv2c63ajd" w:id="5"/>
            <w:bookmarkEnd w:id="5"/>
            <w:r w:rsidDel="00000000" w:rsidR="00000000" w:rsidRPr="00000000">
              <w:rPr>
                <w:rtl w:val="0"/>
              </w:rPr>
              <w:t xml:space="preserve">(GCRA)</w:t>
            </w:r>
          </w:p>
        </w:tc>
      </w:tr>
      <w:tr>
        <w:trPr>
          <w:cantSplit w:val="0"/>
          <w:trHeight w:val="465" w:hRule="atLeast"/>
          <w:tblHeader w:val="0"/>
        </w:trPr>
        <w:tc>
          <w:tcPr>
            <w:gridSpan w:val="12"/>
            <w:shd w:fill="b9a989"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19"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w:t>
            </w:r>
            <w:r w:rsidDel="00000000" w:rsidR="00000000" w:rsidRPr="00000000">
              <w:rPr>
                <w:color w:val="000000"/>
                <w:sz w:val="16"/>
                <w:szCs w:val="16"/>
                <w:rtl w:val="0"/>
              </w:rPr>
              <w:t xml:space="preserve">executive</w:t>
            </w:r>
            <w:r w:rsidDel="00000000" w:rsidR="00000000" w:rsidRPr="00000000">
              <w:rPr>
                <w:color w:val="000000"/>
                <w:sz w:val="16"/>
                <w:szCs w:val="16"/>
                <w:rtl w:val="0"/>
              </w:rPr>
              <w:t xml:space="preserve">?</w:t>
            </w:r>
          </w:p>
        </w:tc>
        <w:tc>
          <w:tcPr>
            <w:gridSpan w:val="4"/>
            <w:vMerge w:val="restart"/>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ind w:right="-6"/>
              <w:jc w:val="center"/>
              <w:rPr>
                <w:color w:val="000000"/>
                <w:sz w:val="16"/>
                <w:szCs w:val="16"/>
              </w:rPr>
            </w:pPr>
            <w:sdt>
              <w:sdtPr>
                <w:tag w:val="goog_rdk_1"/>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rtl w:val="0"/>
              </w:rPr>
            </w:r>
          </w:p>
        </w:tc>
        <w:tc>
          <w:tcPr>
            <w:gridSpan w:val="3"/>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The Guernsey Competition and Regulatory Authority Ordinance, 2012</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 9</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ind w:left="108" w:right="153" w:firstLine="0"/>
              <w:rPr>
                <w:sz w:val="16"/>
                <w:szCs w:val="16"/>
              </w:rPr>
            </w:pPr>
            <w:r w:rsidDel="00000000" w:rsidR="00000000" w:rsidRPr="00000000">
              <w:rPr>
                <w:rtl w:val="0"/>
              </w:rPr>
            </w:r>
          </w:p>
          <w:p w:rsidR="00000000" w:rsidDel="00000000" w:rsidP="00000000" w:rsidRDefault="00000000" w:rsidRPr="00000000" w14:paraId="000000E9">
            <w:pPr>
              <w:spacing w:line="276" w:lineRule="auto"/>
              <w:ind w:left="108" w:firstLine="0"/>
              <w:rPr>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ind w:left="108" w:right="153" w:firstLine="0"/>
              <w:rPr>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ind w:right="-9"/>
              <w:jc w:val="center"/>
              <w:rPr>
                <w:color w:val="000000"/>
                <w:sz w:val="16"/>
                <w:szCs w:val="16"/>
              </w:rPr>
            </w:pPr>
            <w:sdt>
              <w:sdtPr>
                <w:tag w:val="goog_rdk_2"/>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rtl w:val="0"/>
              </w:rPr>
            </w:r>
          </w:p>
        </w:tc>
        <w:tc>
          <w:tcPr>
            <w:gridSpan w:val="3"/>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 m</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Competition Ordinance (§§ 3, 9, 14) allows for the Economic Development Committee to exempt certain practices and mergers.</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ind w:left="108" w:right="153" w:firstLine="0"/>
              <w:rPr>
                <w:sz w:val="16"/>
                <w:szCs w:val="16"/>
              </w:rPr>
            </w:pPr>
            <w:r w:rsidDel="00000000" w:rsidR="00000000" w:rsidRPr="00000000">
              <w:rPr>
                <w:rtl w:val="0"/>
              </w:rPr>
            </w:r>
          </w:p>
          <w:p w:rsidR="00000000" w:rsidDel="00000000" w:rsidP="00000000" w:rsidRDefault="00000000" w:rsidRPr="00000000" w14:paraId="000000F8">
            <w:pPr>
              <w:spacing w:line="276" w:lineRule="auto"/>
              <w:ind w:left="108" w:firstLine="0"/>
              <w:rPr>
                <w:i w:val="1"/>
                <w:sz w:val="16"/>
                <w:szCs w:val="16"/>
              </w:rPr>
            </w:pPr>
            <w:r w:rsidDel="00000000" w:rsidR="00000000" w:rsidRPr="00000000">
              <w:rPr>
                <w:i w:val="1"/>
                <w:sz w:val="16"/>
                <w:szCs w:val="16"/>
                <w:rtl w:val="0"/>
              </w:rPr>
              <w:t xml:space="preserve">[Introduce the relevant provisions]</w:t>
            </w:r>
          </w:p>
          <w:p w:rsidR="00000000" w:rsidDel="00000000" w:rsidP="00000000" w:rsidRDefault="00000000" w:rsidRPr="00000000" w14:paraId="000000F9">
            <w:pPr>
              <w:spacing w:line="276" w:lineRule="auto"/>
              <w:ind w:left="108" w:firstLine="0"/>
              <w:rPr>
                <w:i w:val="1"/>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ind w:right="-9"/>
              <w:jc w:val="center"/>
              <w:rPr>
                <w:color w:val="000000"/>
                <w:sz w:val="16"/>
                <w:szCs w:val="16"/>
              </w:rPr>
            </w:pPr>
            <w:sdt>
              <w:sdtPr>
                <w:tag w:val="goog_rdk_3"/>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The Guernsey Competition and Regulatory Authority Ordinance, 2012</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 13(3)</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4"/>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The Guernsey Competition and Regulatory Authority Ordinance, 2012</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 13(3)</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ind w:left="108" w:firstLine="0"/>
              <w:rPr>
                <w:i w:val="1"/>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26">
            <w:pPr>
              <w:spacing w:line="276" w:lineRule="auto"/>
              <w:ind w:left="108" w:firstLine="0"/>
              <w:rPr>
                <w:i w:val="1"/>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ind w:left="108" w:right="153" w:firstLine="0"/>
              <w:rPr>
                <w:i w:val="1"/>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5"/>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The Guernsey Competition and Regulatory Authority Ordinance, 2012</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 13(4)</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ind w:left="108" w:right="127"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ind w:left="108" w:right="127" w:firstLine="0"/>
              <w:jc w:val="both"/>
              <w:rPr>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6"/>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GCRA decisions are appealable to the Royal Court.</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Competition Ordinance § 46.</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422"/>
              </w:tabs>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ind w:left="108" w:right="120" w:firstLine="0"/>
              <w:rPr>
                <w:b w:val="1"/>
                <w:color w:val="000000"/>
                <w:sz w:val="16"/>
                <w:szCs w:val="16"/>
              </w:rPr>
            </w:pPr>
            <w:r w:rsidDel="00000000" w:rsidR="00000000" w:rsidRPr="00000000">
              <w:rPr>
                <w:b w:val="1"/>
                <w:color w:val="000000"/>
                <w:sz w:val="16"/>
                <w:szCs w:val="16"/>
                <w:rtl w:val="0"/>
              </w:rPr>
              <w:t xml:space="preserve">Other obligations/comments:</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76" w:lineRule="auto"/>
              <w:ind w:left="108" w:right="120" w:firstLine="0"/>
              <w:rPr>
                <w:b w:val="1"/>
                <w:sz w:val="16"/>
                <w:szCs w:val="16"/>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180" w:hRule="atLeast"/>
          <w:tblHeader w:val="0"/>
        </w:trPr>
        <w:tc>
          <w:tcPr>
            <w:gridSpan w:val="2"/>
            <w:shd w:fill="d2c7b4" w:val="clea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The GCRA Board must be </w:t>
            </w:r>
            <w:r w:rsidDel="00000000" w:rsidR="00000000" w:rsidRPr="00000000">
              <w:rPr>
                <w:sz w:val="16"/>
                <w:szCs w:val="16"/>
                <w:rtl w:val="0"/>
              </w:rPr>
              <w:t xml:space="preserve">composed</w:t>
            </w:r>
            <w:r w:rsidDel="00000000" w:rsidR="00000000" w:rsidRPr="00000000">
              <w:rPr>
                <w:color w:val="000000"/>
                <w:sz w:val="16"/>
                <w:szCs w:val="16"/>
                <w:rtl w:val="0"/>
              </w:rPr>
              <w:t xml:space="preserve"> of at least three members including a chairperson. The Chairman is appointed by the Committee on Economic Development and other members are appointed by the Committee on the advice of the Chairman. Appointments may be annulled by the parliament in the first two meetings following the appointment. (The Guernsey Competition and Regulatory Authority Ordinance, 2012, Schedule 1 § 1). The Committee may revoke an appointment if the member is chronically absent, neglectful in duty, insolvent, incapacitated, or otherwise unfit (Schedule 1 § 3(2)-(3)). Members are appointed for a maximum of 5 years and may be reappointed. (Schedule 1 § 2).</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Yes</w:t>
            </w:r>
            <w:r w:rsidDel="00000000" w:rsidR="00000000" w:rsidRPr="00000000">
              <w:rPr>
                <w:rtl w:val="0"/>
              </w:rPr>
            </w:r>
          </w:p>
        </w:tc>
        <w:tc>
          <w:tcPr>
            <w:gridSpan w:val="6"/>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Committee on Economic Development may exempt an undertaking, a class or description of undertaking, or any undertaking of a class or description from abuse of dominant position from inclusion in The Competition Ordinance on public policy grounds. Similarly, it may exempt an agreement, class or description of agreement, or any agreement of a class or description from anti-competitive practice enforcement on public policy grounds or agreement, class or description of an agreement, or any agreement of a class or description from merger review on public policy grounds.  The Competition Ordinance (§§ 3, 9, 14)</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color w:val="000000"/>
                <w:sz w:val="16"/>
                <w:szCs w:val="16"/>
                <w:rtl w:val="0"/>
              </w:rPr>
              <w:t xml:space="preserve">The Committee on Economic Development retains the sole authority to determine the salaries of GCRA executives. Additionally, the Committee may make decisions regarding the structure of GCRA’s corporate governance. The Guernsey Competition and Regulatory Authority Ordinance, 2012 §§ 3-4.</w:t>
            </w:r>
          </w:p>
        </w:tc>
      </w:tr>
      <w:tr>
        <w:trPr>
          <w:cantSplit w:val="0"/>
          <w:trHeight w:val="359" w:hRule="atLeast"/>
          <w:tblHeader w:val="0"/>
        </w:trPr>
        <w:tc>
          <w:tcPr>
            <w:gridSpan w:val="2"/>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Where the GCRA, except for in the case of a consent decree, makes an appealable decision, the party that the decision is made against may require the GCRA to furnish with a written statement regarding the reasoning for the decision. This requirement is subject to confidentiality. If an omission is made on such grounds the GCRA must notify the party of the omission. The Competition Ordinance § 45.</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76" w:lineRule="auto"/>
              <w:ind w:left="107" w:right="113" w:firstLine="0"/>
              <w:rPr>
                <w:color w:val="000000"/>
                <w:sz w:val="16"/>
                <w:szCs w:val="16"/>
              </w:rPr>
            </w:pPr>
            <w:r w:rsidDel="00000000" w:rsidR="00000000" w:rsidRPr="00000000">
              <w:rPr>
                <w:color w:val="000000"/>
                <w:sz w:val="16"/>
                <w:szCs w:val="16"/>
                <w:rtl w:val="0"/>
              </w:rPr>
              <w:t xml:space="preserve">“The Authority shall pay any money received by it in payment of a financial penalty to [the Committee] for the General Revenue Account of the States.” (The Competition Ordinance, 2012. § 34(9))</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ind w:left="107" w:right="113" w:firstLine="0"/>
              <w:rPr>
                <w:color w:val="000000"/>
                <w:sz w:val="16"/>
                <w:szCs w:val="16"/>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ind w:left="107" w:right="113" w:firstLine="0"/>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ind w:left="107" w:right="113"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CB">
            <w:pPr>
              <w:pStyle w:val="Heading2"/>
              <w:spacing w:line="276" w:lineRule="auto"/>
              <w:rPr>
                <w:sz w:val="22"/>
                <w:szCs w:val="22"/>
              </w:rPr>
            </w:pPr>
            <w:bookmarkStart w:colFirst="0" w:colLast="0" w:name="_heading=h.t616cxqjtrhs" w:id="6"/>
            <w:bookmarkEnd w:id="6"/>
            <w:r w:rsidDel="00000000" w:rsidR="00000000" w:rsidRPr="00000000">
              <w:rPr>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Collegiate body of at least three members including a Chairperson.</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The Chairman is appointed by the Committee on Economic Development and other members are appointed by the Committee on the advice of the Chairman. (The Guernsey Competition and Regulatory Authority Ordinance, 2012, Schedule 1 § 1). Members are appointed for a maximum of 5 years and may be reappointed. (Schedule 1 § 2). Members must have “knowledge, qualifications, experience or expertise appropriate and relevant to the functions of the [GCRA].” (Schedule 1 § 3).</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color w:val="000000"/>
                <w:sz w:val="16"/>
                <w:szCs w:val="16"/>
                <w:rtl w:val="0"/>
              </w:rPr>
              <w:t xml:space="preserve">[Please describe the </w:t>
            </w:r>
            <w:r w:rsidDel="00000000" w:rsidR="00000000" w:rsidRPr="00000000">
              <w:rPr>
                <w:i w:val="1"/>
                <w:sz w:val="16"/>
                <w:szCs w:val="16"/>
                <w:rtl w:val="0"/>
              </w:rPr>
              <w:t xml:space="preserve">election</w:t>
            </w:r>
            <w:r w:rsidDel="00000000" w:rsidR="00000000" w:rsidRPr="00000000">
              <w:rPr>
                <w:i w:val="1"/>
                <w:color w:val="000000"/>
                <w:sz w:val="16"/>
                <w:szCs w:val="16"/>
                <w:rtl w:val="0"/>
              </w:rPr>
              <w:t xml:space="preserve"> process for choosing the members of the directive organ. Include relevant provisions; mention the branch government involved in this process]</w:t>
            </w:r>
          </w:p>
        </w:tc>
      </w:tr>
      <w:tr>
        <w:trPr>
          <w:cantSplit w:val="0"/>
          <w:trHeight w:val="360" w:hRule="atLeast"/>
          <w:tblHeader w:val="0"/>
        </w:trPr>
        <w:tc>
          <w:tcPr>
            <w:gridSpan w:val="2"/>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color w:val="000000"/>
                <w:sz w:val="16"/>
                <w:szCs w:val="16"/>
                <w:rtl w:val="0"/>
              </w:rPr>
              <w:t xml:space="preserve">Members are appointed for a maximum of 5 years and may be reappointed. (The Guernsey Competition and Regulatory Authority Ordinance, 2012 Schedule 1 § 2).</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76" w:lineRule="auto"/>
              <w:ind w:right="131"/>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76" w:lineRule="auto"/>
              <w:ind w:right="131"/>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Members must have “knowledge, qualifications, experience or expertise appropriate and relevant to the functions of the [GCRA].” (Schedule 1 § 3).</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21">
            <w:pPr>
              <w:pStyle w:val="Heading2"/>
              <w:spacing w:before="120" w:line="276" w:lineRule="auto"/>
              <w:ind w:left="3059" w:right="3050" w:firstLine="0"/>
              <w:jc w:val="center"/>
              <w:rPr/>
            </w:pPr>
            <w:bookmarkStart w:colFirst="0" w:colLast="0" w:name="_heading=h.ea2j4pu33c5m" w:id="7"/>
            <w:bookmarkEnd w:id="7"/>
            <w:r w:rsidDel="00000000" w:rsidR="00000000" w:rsidRPr="00000000">
              <w:rPr>
                <w:rtl w:val="0"/>
              </w:rPr>
              <w:t xml:space="preserve">Architecture</w:t>
            </w:r>
          </w:p>
        </w:tc>
      </w:tr>
      <w:tr>
        <w:trPr>
          <w:cantSplit w:val="0"/>
          <w:trHeight w:val="540" w:hRule="atLeast"/>
          <w:tblHeader w:val="0"/>
        </w:trPr>
        <w:tc>
          <w:tcPr>
            <w:gridSpan w:val="2"/>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Stand-alone</w:t>
            </w:r>
          </w:p>
        </w:tc>
        <w:tc>
          <w:tcPr>
            <w:gridSpan w:val="6"/>
          </w:tcPr>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tc>
      </w:tr>
      <w:tr>
        <w:trPr>
          <w:cantSplit w:val="0"/>
          <w:trHeight w:val="463" w:hRule="atLeast"/>
          <w:tblHeader w:val="0"/>
        </w:trPr>
        <w:tc>
          <w:tcPr>
            <w:gridSpan w:val="12"/>
            <w:shd w:fill="b9a989" w:val="clear"/>
          </w:tcPr>
          <w:p w:rsidR="00000000" w:rsidDel="00000000" w:rsidP="00000000" w:rsidRDefault="00000000" w:rsidRPr="00000000" w14:paraId="00000239">
            <w:pPr>
              <w:pStyle w:val="Heading2"/>
              <w:spacing w:before="119" w:line="276" w:lineRule="auto"/>
              <w:ind w:left="3841" w:right="3833" w:firstLine="0"/>
              <w:jc w:val="center"/>
              <w:rPr/>
            </w:pPr>
            <w:bookmarkStart w:colFirst="0" w:colLast="0" w:name="_heading=h.vn9axm18c54p" w:id="8"/>
            <w:bookmarkEnd w:id="8"/>
            <w:r w:rsidDel="00000000" w:rsidR="00000000" w:rsidRPr="00000000">
              <w:rPr>
                <w:rtl w:val="0"/>
              </w:rPr>
              <w:t xml:space="preserve">Policy Duties</w:t>
            </w:r>
          </w:p>
        </w:tc>
      </w:tr>
      <w:tr>
        <w:trPr>
          <w:cantSplit w:val="0"/>
          <w:trHeight w:val="275" w:hRule="atLeast"/>
          <w:tblHeader w:val="0"/>
        </w:trPr>
        <w:tc>
          <w:tcPr>
            <w:gridSpan w:val="3"/>
            <w:vMerge w:val="restart"/>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Multiple Mandates </w:t>
            </w:r>
          </w:p>
        </w:tc>
        <w:tc>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ind w:right="83"/>
              <w:jc w:val="center"/>
              <w:rPr>
                <w:color w:val="000000"/>
                <w:sz w:val="16"/>
                <w:szCs w:val="16"/>
              </w:rPr>
            </w:pPr>
            <w:sdt>
              <w:sdtPr>
                <w:tag w:val="goog_rdk_7"/>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 Electricity/Utilities, Post/Mail, Telecommunications.</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 Include any other mandates entrusted to the Competition Authority] </w:t>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6C">
            <w:pPr>
              <w:pStyle w:val="Heading2"/>
              <w:spacing w:before="119" w:line="276" w:lineRule="auto"/>
              <w:ind w:left="3839" w:right="3834" w:firstLine="0"/>
              <w:jc w:val="center"/>
              <w:rPr/>
            </w:pPr>
            <w:bookmarkStart w:colFirst="0" w:colLast="0" w:name="_heading=h.mzpvzqj0xv4p" w:id="9"/>
            <w:bookmarkEnd w:id="9"/>
            <w:r w:rsidDel="00000000" w:rsidR="00000000" w:rsidRPr="00000000">
              <w:rPr>
                <w:rtl w:val="0"/>
              </w:rPr>
              <w:t xml:space="preserve">Portfolio Instruments</w:t>
            </w:r>
          </w:p>
        </w:tc>
      </w:tr>
      <w:tr>
        <w:trPr>
          <w:cantSplit w:val="0"/>
          <w:trHeight w:val="178" w:hRule="atLeast"/>
          <w:tblHeader w:val="0"/>
        </w:trPr>
        <w:tc>
          <w:tcPr>
            <w:gridSpan w:val="12"/>
            <w:shd w:fill="d2c7b4" w:val="clea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The GCRA has the authority to investigate cartel behavior – including price fixing, production control/limitations, agreements to share markets, price discrimination, and non-pertinent contract conditions. (The Competition Ordinance, §§ 5, 22). The GCRA is limited to administrative remedies and may pursue an order to end the cartel behavior – which must be in writing – and/or a financial penalty. (The Competition Ordinance, § 32) The penalty is limited to 10% of the turnover of the undertaking or person during the period of the cartel behavior up to a maximum of 3 years. (The Competition Ordinance, § 34). In imposing the fine, the GCRA is required to consider whether the violation was affirmatively brought to the GCRA’s attention, the seriousness of the violation, intentionality, efforts to rectify, financial consequences of the penalty, and the history of fines imposed for similar cases. </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The GCRA has the authority to investigate unilateral conduct relating to abuse of a dominant position – including imposing unfair purchase or sale prices or conditions, limiting production or technical development, price discrimination, and non-pertinent contract conditions. (The Competition Ordinance, §§ 1, 22). The GCRA is limited to administrative remedies and may pursue an order to end the anticompetitive behavior – which must be in writing – and/or a financial penalty. (The Competition Ordinance, § 31) The penalty is limited to 10% of the turnover of the undertaking or person during the period of the anticompetitive behavior up to a maximum of 3 years. (The Competition Ordinance, § 34). In imposing the fine, the GCRA is required to consider whether the violation was affirmatively brought to the GCRA’s attention, the seriousness of the violation, intentionality, efforts to rectify, financial consequences of the penalty, and the history of fines imposed for similar cases. </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76" w:lineRule="auto"/>
              <w:ind w:left="145" w:firstLine="0"/>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The GCRA conducts ex-ante merger review and has the authority to block mergers that substantially lessen competition, prejudice consumers prejudice economic development and the wellbeing, and are otherwise not in the public interest. (The Competition Ordinance, §§ 13, 17). The GCRA may block, suspend, or modify (including through divestiture) mergers as well as impose conditions on post-merger conduct. (The Competition Ordinance, § 33).</w:t>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Mergers, and merger review, is a five-step procedure of notification, first detailed review, state of play meeting, second detailed review, and a decision. First, merging parties will submit a </w:t>
            </w:r>
            <w:hyperlink r:id="rId8">
              <w:r w:rsidDel="00000000" w:rsidR="00000000" w:rsidRPr="00000000">
                <w:rPr>
                  <w:color w:val="0000ff"/>
                  <w:sz w:val="16"/>
                  <w:szCs w:val="16"/>
                  <w:u w:val="single"/>
                  <w:rtl w:val="0"/>
                </w:rPr>
                <w:t xml:space="preserve">Merger Application Form (MAF)</w:t>
              </w:r>
            </w:hyperlink>
            <w:r w:rsidDel="00000000" w:rsidR="00000000" w:rsidRPr="00000000">
              <w:rPr>
                <w:color w:val="000000"/>
                <w:sz w:val="16"/>
                <w:szCs w:val="16"/>
                <w:rtl w:val="0"/>
              </w:rPr>
              <w:t xml:space="preserve"> to the GCRA and pay the applicable fee. The application will then be published on the GCRA website and public comment will be allowed for 10 days. The GCRA will during this time conduct an investigation regarding the possible impact of the merger. If the GCRA believes that the merger will not receive immediate approval, it will meet with the applying parties and provide details. After this period, the GCRA will either approve the merger or refer it for a second detailed review. There is no statutory deadline for approval of a merger. If a second detailed review is conducted, the parties must pay additional applicable fees and the GCRA will analyze the merger further by assessing the deal and documenting its “theories of harm.” After completion, the GCRA will issue a final determination. (</w:t>
            </w:r>
            <w:hyperlink r:id="rId9">
              <w:r w:rsidDel="00000000" w:rsidR="00000000" w:rsidRPr="00000000">
                <w:rPr>
                  <w:color w:val="0000ff"/>
                  <w:sz w:val="16"/>
                  <w:szCs w:val="16"/>
                  <w:u w:val="single"/>
                  <w:rtl w:val="0"/>
                </w:rPr>
                <w:t xml:space="preserve">See GCRA Merger Review Procedural Guidelines</w:t>
              </w:r>
            </w:hyperlink>
            <w:r w:rsidDel="00000000" w:rsidR="00000000" w:rsidRPr="00000000">
              <w:rPr>
                <w:color w:val="000000"/>
                <w:sz w:val="16"/>
                <w:szCs w:val="16"/>
                <w:rtl w:val="0"/>
              </w:rPr>
              <w:t xml:space="preserve">)</w:t>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B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2B6">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BC">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Mergers must be notified and approved of if (a) the combined turnover of the involved undertakings exceeds £5 Million and two or more of the undertakings involved each have a turnover arising in Guernsey exceeding £2 Million. An undertaking is involved in the merger if it is the acquiring party, the acquired party, entering into a joint venture, is itself a joint venture, or is involved in some combination with another undertaking. (</w:t>
            </w:r>
            <w:hyperlink r:id="rId10">
              <w:r w:rsidDel="00000000" w:rsidR="00000000" w:rsidRPr="00000000">
                <w:rPr>
                  <w:color w:val="0000ff"/>
                  <w:sz w:val="16"/>
                  <w:szCs w:val="16"/>
                  <w:u w:val="single"/>
                  <w:rtl w:val="0"/>
                </w:rPr>
                <w:t xml:space="preserve">See the Prescribed Mergers and Acquisition Guidelines</w:t>
              </w:r>
            </w:hyperlink>
            <w:r w:rsidDel="00000000" w:rsidR="00000000" w:rsidRPr="00000000">
              <w:rPr>
                <w:color w:val="000000"/>
                <w:sz w:val="16"/>
                <w:szCs w:val="16"/>
                <w:rtl w:val="0"/>
              </w:rPr>
              <w:t xml:space="preserve">).</w:t>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Mergers covered by the merger guidelines are prohibited without the express approval of the GCRA. (The Competition Ordinance, § 13(1)).</w:t>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sz w:val="16"/>
                <w:szCs w:val="16"/>
                <w:rtl w:val="0"/>
              </w:rPr>
              <w:t xml:space="preserve">[</w:t>
            </w:r>
            <w:r w:rsidDel="00000000" w:rsidR="00000000" w:rsidRPr="00000000">
              <w:rPr>
                <w:color w:val="000000"/>
                <w:sz w:val="16"/>
                <w:szCs w:val="16"/>
                <w:rtl w:val="0"/>
              </w:rPr>
              <w:t xml:space="preserve">Please mention the relevant provisions and add any explanation that you deem necessary]</w:t>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76" w:lineRule="auto"/>
              <w:ind w:left="145" w:firstLine="0"/>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The GCRA merger authority is limited to those covered by the merger guidelines and the authority to block those that were required to be notified but failed to do so. Additionally, mergers and acquisitions with anticompetitive effects cannot be investigated under the abuse of dominant position or anti-competitive practices authority without a non-merger violation. (The Competition Ordinance §§ 2, 9).</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[Please mention relevant provisions]</w:t>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E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The GCRA does not have ex-post merger review authority except in cases where a covered merger did not notify the GCRA.</w:t>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[If the answer is yes, please mention the remedies that the Authority can impose; mention relevant provisions]  </w:t>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line="276" w:lineRule="auto"/>
              <w:ind w:left="107"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F9">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“Entry and search under a warrant must be at a reasonable hour unless it appears to the police officer executing it that the purpose of a search may be frustrated on an entry at a reasonable hour.” (See Police Powers and Criminal Evidence (Bailiwick of Guernsey) Law, 2003 § 11(4).) This section applies to the GCRA or any other authority operating on the authority of a warrant authorized by the Competition Ordinance.</w:t>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The GCRA may investigate anti-competitive practices, abuses of dominant position, or unnotified mergers thought to require notification on “reasonable grounds for suspicion.” (The Competition Ordinance § 22). No explicit requirement exists that investigations must be in response to a complaint. However, the GCRA may not conduct “spot-checks” absent reasonable suspicion.</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[Please, mention the relevant provisions]</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left="145" w:firstLine="0"/>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GCRA derives its leniency authority from its discretion to impose financial penalties. While leniency may provide immunity or a reduction in financial penalty, it does not provide immunity from private civil action or allow unlawful agreements to move forward.</w:t>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Immunity may be offered to the “first cartel member to submit evidence enabling the GCRA to carry out targeted inspections in connection with the alleged cartel; or establish an infringement of the competition laws.” Immunity seekers must immediately withdraw from participation in the cartel unless otherwise directed by the GCRA, refrain from communication with cartel members unless otherwise directed, not destroy any evidence or disclose the contents of an immunity application except to other enforcers or an attorney of the applicant, provide access to all information available to the applicant regarding cartel activity to the GCRA, and maintain continuous and complete cooperation with the GCRA throughout the investigation. Immunity is not available to those individuals or entities that instigated, led or coerced others to join the cartel.</w:t>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To apply for leniency, the applicant must submit a  written statement detailing the cartel arrangements, all documents available as evidence to the applicant, details regarding the activities both inside and outside of Guernsey, details about how information regarding the enterprises are held, and information regarding past or simultaneous immunity applications in other jurisdictions. The GCRA will then acknowledge receipt and whether the applicant was first in line. Following the conclusion of the application, the GCRA will evaluate whether the applicant fulfilled its duties with regard to immunity and issue a final determination.</w:t>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line="276" w:lineRule="auto"/>
              <w:rPr>
                <w:color w:val="000000"/>
                <w:sz w:val="16"/>
                <w:szCs w:val="16"/>
              </w:rPr>
            </w:pPr>
            <w:hyperlink r:id="rId11">
              <w:r w:rsidDel="00000000" w:rsidR="00000000" w:rsidRPr="00000000">
                <w:rPr>
                  <w:color w:val="0000ff"/>
                  <w:sz w:val="16"/>
                  <w:szCs w:val="16"/>
                  <w:u w:val="single"/>
                  <w:rtl w:val="0"/>
                </w:rPr>
                <w:t xml:space="preserve">See Leniency Policy Guideline </w:t>
              </w:r>
            </w:hyperlink>
            <w:r w:rsidDel="00000000" w:rsidR="00000000" w:rsidRPr="00000000">
              <w:rPr>
                <w:color w:val="000000"/>
                <w:sz w:val="16"/>
                <w:szCs w:val="16"/>
                <w:rtl w:val="0"/>
              </w:rPr>
              <w:t xml:space="preserve"> </w:t>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2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seek criminal punishment?</w:t>
            </w:r>
          </w:p>
        </w:tc>
        <w:tc>
          <w:tcPr>
            <w:gridSpan w:val="6"/>
          </w:tcPr>
          <w:p w:rsidR="00000000" w:rsidDel="00000000" w:rsidP="00000000" w:rsidRDefault="00000000" w:rsidRPr="00000000" w14:paraId="00000326">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 If the answer is “yes”, please mention the different kinds of sanctions that the agency can impose]  </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76" w:lineRule="auto"/>
              <w:ind w:left="145" w:firstLine="0"/>
              <w:rPr>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31">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3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40">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“The Authority may advise [the Committee on Economic Development] on the effect or likely effect of any enactment or proposed enactment or any other legal development on competition in Guernsey.” (The Competition Ordinance § 52).</w:t>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[if the answer is yes, please specify if there is any kind of limitation to the agency’s authority to issue opinions, include relevant provisions]</w:t>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50">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35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When drafting regulations regarding prescription of the classes and descriptions of mergers, the Committee on Economic Development must consult with the GCRA. (The Competition Ordinance § 13(3)).</w:t>
            </w:r>
          </w:p>
          <w:p w:rsidR="00000000" w:rsidDel="00000000" w:rsidP="00000000" w:rsidRDefault="00000000" w:rsidRPr="00000000" w14:paraId="0000035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[if the answer is yes, include relevant provisions]</w:t>
            </w:r>
          </w:p>
          <w:p w:rsidR="00000000" w:rsidDel="00000000" w:rsidP="00000000" w:rsidRDefault="00000000" w:rsidRPr="00000000" w14:paraId="00000359">
            <w:pPr>
              <w:pBdr>
                <w:top w:space="0" w:sz="0" w:val="nil"/>
                <w:left w:space="0" w:sz="0" w:val="nil"/>
                <w:bottom w:space="0" w:sz="0" w:val="nil"/>
                <w:right w:space="0" w:sz="0" w:val="nil"/>
                <w:between w:space="0" w:sz="0" w:val="nil"/>
              </w:pBdr>
              <w:spacing w:line="276" w:lineRule="auto"/>
              <w:ind w:left="107" w:firstLine="0"/>
              <w:rPr>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5C">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6B">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Yes</w:t>
            </w:r>
          </w:p>
        </w:tc>
        <w:tc>
          <w:tcPr/>
          <w:p w:rsidR="00000000" w:rsidDel="00000000" w:rsidP="00000000" w:rsidRDefault="00000000" w:rsidRPr="00000000" w14:paraId="00000371">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8"/>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rtl w:val="0"/>
              </w:rPr>
            </w:r>
          </w:p>
        </w:tc>
        <w:tc>
          <w:tcPr>
            <w:gridSpan w:val="2"/>
          </w:tcPr>
          <w:p w:rsidR="00000000" w:rsidDel="00000000" w:rsidP="00000000" w:rsidRDefault="00000000" w:rsidRPr="00000000" w14:paraId="0000037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7D">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9"/>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rtl w:val="0"/>
              </w:rPr>
            </w:r>
          </w:p>
        </w:tc>
        <w:tc>
          <w:tcPr>
            <w:gridSpan w:val="2"/>
          </w:tcPr>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89">
            <w:pPr>
              <w:pBdr>
                <w:top w:space="0" w:sz="0" w:val="nil"/>
                <w:left w:space="0" w:sz="0" w:val="nil"/>
                <w:bottom w:space="0" w:sz="0" w:val="nil"/>
                <w:right w:space="0" w:sz="0" w:val="nil"/>
                <w:between w:space="0" w:sz="0" w:val="nil"/>
              </w:pBdr>
              <w:spacing w:before="1" w:line="276" w:lineRule="auto"/>
              <w:ind w:right="82"/>
              <w:jc w:val="center"/>
              <w:rPr>
                <w:color w:val="000000"/>
                <w:sz w:val="16"/>
                <w:szCs w:val="16"/>
              </w:rPr>
            </w:pPr>
            <w:sdt>
              <w:sdtPr>
                <w:tag w:val="goog_rdk_1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rtl w:val="0"/>
              </w:rPr>
            </w:r>
          </w:p>
        </w:tc>
        <w:tc>
          <w:tcPr>
            <w:gridSpan w:val="2"/>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8C">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No </w:t>
            </w:r>
            <w:r w:rsidDel="00000000" w:rsidR="00000000" w:rsidRPr="00000000">
              <w:rPr>
                <w:rtl w:val="0"/>
              </w:rPr>
            </w:r>
          </w:p>
        </w:tc>
        <w:tc>
          <w:tcPr>
            <w:gridSpan w:val="3"/>
            <w:shd w:fill="auto" w:val="clear"/>
          </w:tcPr>
          <w:p w:rsidR="00000000" w:rsidDel="00000000" w:rsidP="00000000" w:rsidRDefault="00000000" w:rsidRPr="00000000" w14:paraId="0000039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Committee on Economic Development retains the power to regulate on competition under the Competition Ordinance. The GCRA may regulate its own procedure alone.</w:t>
            </w:r>
          </w:p>
          <w:p w:rsidR="00000000" w:rsidDel="00000000" w:rsidP="00000000" w:rsidRDefault="00000000" w:rsidRPr="00000000" w14:paraId="0000039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398">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3A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3AA">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B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GCRA may conduct studies. (The Competition Ordinance §§ 22, 37). See for example </w:t>
            </w:r>
            <w:hyperlink r:id="rId12">
              <w:r w:rsidDel="00000000" w:rsidR="00000000" w:rsidRPr="00000000">
                <w:rPr>
                  <w:color w:val="0000ff"/>
                  <w:sz w:val="16"/>
                  <w:szCs w:val="16"/>
                  <w:u w:val="single"/>
                  <w:rtl w:val="0"/>
                </w:rPr>
                <w:t xml:space="preserve">GCRA Grocery Retail Study</w:t>
              </w:r>
            </w:hyperlink>
            <w:r w:rsidDel="00000000" w:rsidR="00000000" w:rsidRPr="00000000">
              <w:rPr>
                <w:color w:val="000000"/>
                <w:sz w:val="16"/>
                <w:szCs w:val="16"/>
                <w:rtl w:val="0"/>
              </w:rPr>
              <w:t xml:space="preserve">.</w:t>
            </w:r>
          </w:p>
          <w:p w:rsidR="00000000" w:rsidDel="00000000" w:rsidP="00000000" w:rsidRDefault="00000000" w:rsidRPr="00000000" w14:paraId="000003B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[If the answer is “yes”, include relevant provisions]</w:t>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Studies may be reported to the Committee on Economic Development. (The Competition Ordinance §§ 22, 37). </w:t>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[If the answer is “yes”, include relevant provisions]</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C5">
            <w:pPr>
              <w:pStyle w:val="Heading2"/>
              <w:spacing w:before="120" w:line="276" w:lineRule="auto"/>
              <w:ind w:left="3841" w:right="3834" w:firstLine="0"/>
              <w:jc w:val="center"/>
              <w:rPr/>
            </w:pPr>
            <w:bookmarkStart w:colFirst="0" w:colLast="0" w:name="_heading=h.xd9lwty0wccy" w:id="10"/>
            <w:bookmarkEnd w:id="10"/>
            <w:r w:rsidDel="00000000" w:rsidR="00000000" w:rsidRPr="00000000">
              <w:rPr>
                <w:rtl w:val="0"/>
              </w:rPr>
              <w:t xml:space="preserve">Decision-Making Functions</w:t>
            </w:r>
          </w:p>
        </w:tc>
      </w:tr>
      <w:tr>
        <w:trPr>
          <w:cantSplit w:val="0"/>
          <w:trHeight w:val="179" w:hRule="atLeast"/>
          <w:tblHeader w:val="0"/>
        </w:trPr>
        <w:tc>
          <w:tcPr>
            <w:gridSpan w:val="12"/>
            <w:shd w:fill="d2c7b4" w:val="clear"/>
          </w:tcPr>
          <w:p w:rsidR="00000000" w:rsidDel="00000000" w:rsidP="00000000" w:rsidRDefault="00000000" w:rsidRPr="00000000" w14:paraId="000003D1">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DD">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GCRA makes the ultimate decision of guilt subject to appeal. (The Competition Ordinance §§ 31-33, 46).</w:t>
            </w:r>
          </w:p>
          <w:p w:rsidR="00000000" w:rsidDel="00000000" w:rsidP="00000000" w:rsidRDefault="00000000" w:rsidRPr="00000000" w14:paraId="000003E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[If the answer is “yes”, include relevant provisions]</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3EF">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GCRA may impose binding orders related to anticompetitive conduct or mergers as well as impose financial penalties. (The Competition Ordinance §§ 31-35).</w:t>
            </w:r>
          </w:p>
          <w:p w:rsidR="00000000" w:rsidDel="00000000" w:rsidP="00000000" w:rsidRDefault="00000000" w:rsidRPr="00000000" w14:paraId="000003F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If the answer is “yes”, please mention the different kinds of sanctions that the agency can impose]</w:t>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FB">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3FE">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04">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color w:val="000000"/>
                <w:sz w:val="16"/>
                <w:szCs w:val="16"/>
                <w:rtl w:val="0"/>
              </w:rPr>
              <w:t xml:space="preserve">The GCRA acts as a single body under the direction of its board. In beginning an investigation, the GCRA first must determine that a reasonable suspicion of a violation exists either through a complaint, leniency applications, or public information. As part of this determination, the GCRA will conduct a preliminary assessment to determine a likelihood of a breach of law. If it is determined that there is a likelihood of breach, the GCRA may choose to initiate an investigation. The GCRA then conducts evidence gathering including through requested review of documents and information, interviews, or inspection under warrant. The GCRA may impose interim measures in cases of urgency. If the GCRA determines that there was a violation, it will prepare a draft decision which will be available to both complainant(s) if they exist and the parties involved with the ability to make representations before the GCRA within 28 days. Copies of the decision where non-confidential may be supplied to non-parties upon request. A final decision will then be published with parties that supplied information having the ability to make confidentiality claims. The GCRA will then post the decision publicly. If at any point the GCRA determines that no infringement occurred, it will notify the parties to that effect.</w:t>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line="276" w:lineRule="auto"/>
              <w:ind w:right="42"/>
              <w:jc w:val="both"/>
              <w:rPr>
                <w:color w:val="000000"/>
                <w:sz w:val="16"/>
                <w:szCs w:val="16"/>
              </w:rPr>
            </w:pPr>
            <w:hyperlink r:id="rId13">
              <w:r w:rsidDel="00000000" w:rsidR="00000000" w:rsidRPr="00000000">
                <w:rPr>
                  <w:color w:val="0000ff"/>
                  <w:sz w:val="16"/>
                  <w:szCs w:val="16"/>
                  <w:u w:val="single"/>
                  <w:rtl w:val="0"/>
                </w:rPr>
                <w:t xml:space="preserve">See the GCRA Investigation Procedure Guidelines</w:t>
              </w:r>
            </w:hyperlink>
            <w:r w:rsidDel="00000000" w:rsidR="00000000" w:rsidRPr="00000000">
              <w:rPr>
                <w:color w:val="000000"/>
                <w:sz w:val="16"/>
                <w:szCs w:val="16"/>
                <w:rtl w:val="0"/>
              </w:rPr>
              <w:t xml:space="preserve">.</w:t>
            </w:r>
          </w:p>
          <w:p w:rsidR="00000000" w:rsidDel="00000000" w:rsidP="00000000" w:rsidRDefault="00000000" w:rsidRPr="00000000" w14:paraId="00000407">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409">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0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40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410">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16">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GCRA decisions are appealable to the Royal Court. A party may appeal on the basis of a mistake of law, unreasonableness, bad faith, disproportionality of punishment, or an error of fact. Appeals must be initiated within 28 days immediately following the GCRA’s decision and be paired with a summons served on the GCRA or Committee on Economic Development stating the grounds for appeal. The Court has the authority to confirm, confirm in part, or reverse the decision of the GCRA.</w:t>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Competition Ordinance § 46.</w:t>
            </w:r>
          </w:p>
          <w:p w:rsidR="00000000" w:rsidDel="00000000" w:rsidP="00000000" w:rsidRDefault="00000000" w:rsidRPr="00000000" w14:paraId="0000041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41B">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1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2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bl>
    <w:p w:rsidR="00000000" w:rsidDel="00000000" w:rsidP="00000000" w:rsidRDefault="00000000" w:rsidRPr="00000000" w14:paraId="0000042A">
      <w:pPr>
        <w:spacing w:line="276" w:lineRule="auto"/>
        <w:rPr>
          <w:sz w:val="16"/>
          <w:szCs w:val="16"/>
        </w:rPr>
      </w:pPr>
      <w:r w:rsidDel="00000000" w:rsidR="00000000" w:rsidRPr="00000000">
        <w:rPr>
          <w:rtl w:val="0"/>
        </w:rPr>
      </w:r>
    </w:p>
    <w:p w:rsidR="00000000" w:rsidDel="00000000" w:rsidP="00000000" w:rsidRDefault="00000000" w:rsidRPr="00000000" w14:paraId="0000042B">
      <w:pPr>
        <w:spacing w:line="276" w:lineRule="auto"/>
        <w:ind w:left="1610" w:right="1610" w:firstLine="0"/>
        <w:jc w:val="center"/>
        <w:rPr>
          <w:b w:val="1"/>
          <w:sz w:val="30"/>
          <w:szCs w:val="30"/>
        </w:rPr>
      </w:pPr>
      <w:r w:rsidDel="00000000" w:rsidR="00000000" w:rsidRPr="00000000">
        <w:rPr>
          <w:rtl w:val="0"/>
        </w:rPr>
      </w:r>
    </w:p>
    <w:sectPr>
      <w:headerReference r:id="rId14" w:type="default"/>
      <w:footerReference r:id="rId15"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D">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C">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19" w:lineRule="auto"/>
      <w:ind w:left="3057" w:right="3051" w:firstLine="0"/>
      <w:jc w:val="center"/>
    </w:pPr>
    <w:rPr>
      <w:b w:val="1"/>
      <w:sz w:val="24"/>
      <w:szCs w:val="24"/>
    </w:rPr>
  </w:style>
  <w:style w:type="paragraph" w:styleId="Heading2">
    <w:name w:val="heading 2"/>
    <w:basedOn w:val="Normal"/>
    <w:next w:val="Normal"/>
    <w:pPr>
      <w:keepNext w:val="1"/>
      <w:keepLines w:val="1"/>
      <w:spacing w:after="80" w:before="119" w:lineRule="auto"/>
      <w:ind w:left="3059" w:right="3051" w:firstLine="0"/>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19" w:lineRule="auto"/>
      <w:ind w:left="3057" w:right="3051" w:firstLine="0"/>
      <w:jc w:val="center"/>
    </w:pPr>
    <w:rPr>
      <w:b w:val="1"/>
      <w:sz w:val="24"/>
      <w:szCs w:val="24"/>
    </w:rPr>
  </w:style>
  <w:style w:type="paragraph" w:styleId="Heading2">
    <w:name w:val="heading 2"/>
    <w:basedOn w:val="Normal"/>
    <w:next w:val="Normal"/>
    <w:pPr>
      <w:keepNext w:val="1"/>
      <w:keepLines w:val="1"/>
      <w:spacing w:before="119" w:lineRule="auto"/>
      <w:ind w:left="3059" w:right="3050" w:firstLine="0"/>
      <w:jc w:val="center"/>
    </w:pPr>
    <w:rPr>
      <w:b w:val="1"/>
      <w:smallCaps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cra.gg/media/598530/guideline-13-leniency-policy.pdf" TargetMode="External"/><Relationship Id="rId10" Type="http://schemas.openxmlformats.org/officeDocument/2006/relationships/hyperlink" Target="https://www.guernseylegalresources.gg/CHttpHandler.ashx?id=76598&amp;p=0" TargetMode="External"/><Relationship Id="rId13" Type="http://schemas.openxmlformats.org/officeDocument/2006/relationships/hyperlink" Target="https://www.gcra.gg/media/598340/guideline-10-investigation-procedures.pdf" TargetMode="External"/><Relationship Id="rId12" Type="http://schemas.openxmlformats.org/officeDocument/2006/relationships/hyperlink" Target="https://www.gcra.gg/media/1935/a802gj-cicra-market-study-into-retail-supply-of-groceries-in-guernsey-and-jersey-repor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cra.gg/media/598335/guideline-6b-mergers-and-acquisitions-procedure.pdf"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cra.je/media/598410/jcra-memorandum-of-understanding-with-the-gcra.pdf" TargetMode="External"/><Relationship Id="rId8" Type="http://schemas.openxmlformats.org/officeDocument/2006/relationships/hyperlink" Target="https://www.gcra.gg/media/598273/guideline-6c-mergers-and-acquisitions-merger-application-form.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I8/7aX3xWfdRJ5koiOpKvfh9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yDmgudGNvaXpmNHZpNzVqMg5oLmszYmJjYnJ5dTdkNDIOaC4xaWFvemt1bjNsMTcyDmguZGd1d3phbmlmNjR5Mg5oLnZla2Jnc3ViZHY2bjIOaC45cGJ4djJjNjNhamQyDmgudDYxNmN4cWp0cmhzMg5oLmVhMmo0cHUzM2M1bTIOaC52bjlheG0xOGM1NHAyDmgubXpwdnpxajB4djRwMg5oLnhkOWx3dHkwd2NjeTgAciExUkxudEtpQUdlS19lOW5ZX1VKQ09yVzVHUHF2aFlUZ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2023-07-08T18:13:00Z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