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Azerbaijan</w:t>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35" w:right="120" w:firstLine="0"/>
              <w:jc w:val="both"/>
              <w:rPr>
                <w:color w:val="000000"/>
                <w:sz w:val="16"/>
                <w:szCs w:val="1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ind w:left="135" w:right="120" w:firstLine="0"/>
              <w:jc w:val="both"/>
              <w:rPr>
                <w:color w:val="000000"/>
                <w:sz w:val="16"/>
                <w:szCs w:val="16"/>
              </w:rPr>
            </w:pPr>
            <w:r w:rsidDel="00000000" w:rsidR="00000000" w:rsidRPr="00000000">
              <w:rPr>
                <w:color w:val="000000"/>
                <w:sz w:val="16"/>
                <w:szCs w:val="16"/>
                <w:rtl w:val="0"/>
              </w:rPr>
              <w:t xml:space="preserve">Law No. 526 “On Antimonopoly Activity” dated March 4, 1993 (most recently amended April 15, 2022).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276" w:lineRule="auto"/>
              <w:ind w:left="135" w:right="120" w:firstLine="0"/>
              <w:jc w:val="both"/>
              <w:rPr>
                <w:color w:val="000000"/>
                <w:sz w:val="16"/>
                <w:szCs w:val="16"/>
              </w:rPr>
            </w:pPr>
            <w:r w:rsidDel="00000000" w:rsidR="00000000" w:rsidRPr="00000000">
              <w:rPr>
                <w:color w:val="000000"/>
                <w:sz w:val="16"/>
                <w:szCs w:val="16"/>
                <w:rtl w:val="0"/>
              </w:rPr>
              <w:t xml:space="preserve">Law No. 1113 “On Protection of Consumer Rights” dated September 19, 1995 (most recently amended February 17, 2023).</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1" w:line="276" w:lineRule="auto"/>
              <w:ind w:left="135" w:right="120" w:firstLine="0"/>
              <w:jc w:val="both"/>
              <w:rPr>
                <w:color w:val="000000"/>
                <w:sz w:val="16"/>
                <w:szCs w:val="16"/>
              </w:rPr>
            </w:pPr>
            <w:r w:rsidDel="00000000" w:rsidR="00000000" w:rsidRPr="00000000">
              <w:rPr>
                <w:color w:val="000000"/>
                <w:sz w:val="16"/>
                <w:szCs w:val="16"/>
                <w:rtl w:val="0"/>
              </w:rPr>
              <w:t xml:space="preserve">Law No. 1049 “On Unfair Competition” dated June 2, 1995 (most recently amended February 17, 2023).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1" w:line="276" w:lineRule="auto"/>
              <w:ind w:left="135" w:right="120" w:firstLine="0"/>
              <w:jc w:val="both"/>
              <w:rPr>
                <w:color w:val="000000"/>
                <w:sz w:val="16"/>
                <w:szCs w:val="16"/>
              </w:rPr>
            </w:pPr>
            <w:r w:rsidDel="00000000" w:rsidR="00000000" w:rsidRPr="00000000">
              <w:rPr>
                <w:color w:val="000000"/>
                <w:sz w:val="16"/>
                <w:szCs w:val="16"/>
                <w:rtl w:val="0"/>
              </w:rPr>
              <w:t xml:space="preserve">Law No. 590-IQ “ On Natural Monopolies” dated December 15, 1998 (most recently amended December 18, 2015).</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left="135" w:right="120" w:firstLine="0"/>
              <w:jc w:val="both"/>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ind w:left="135" w:right="120" w:firstLine="0"/>
              <w:jc w:val="both"/>
              <w:rPr>
                <w:color w:val="000000"/>
                <w:sz w:val="16"/>
                <w:szCs w:val="16"/>
              </w:rPr>
            </w:pPr>
            <w:r w:rsidDel="00000000" w:rsidR="00000000" w:rsidRPr="00000000">
              <w:rPr>
                <w:color w:val="000000"/>
                <w:sz w:val="16"/>
                <w:szCs w:val="16"/>
                <w:rtl w:val="0"/>
              </w:rPr>
              <w:t xml:space="preserve">State Service for Antimonopoly Policy and Protection of Consumers' Rights under the Ministry of Economic Development of the Azerbaijan Republic.</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35" w:right="120" w:firstLine="0"/>
              <w:jc w:val="both"/>
              <w:rPr>
                <w:color w:val="000000"/>
                <w:sz w:val="16"/>
                <w:szCs w:val="16"/>
              </w:rPr>
            </w:pPr>
            <w:r w:rsidDel="00000000" w:rsidR="00000000" w:rsidRPr="00000000">
              <w:rPr>
                <w:color w:val="000000"/>
                <w:sz w:val="16"/>
                <w:szCs w:val="16"/>
                <w:rtl w:val="0"/>
              </w:rPr>
              <w:t xml:space="preserve">The State Service was established to replace the former State Antimonopoly Service and the State Service on Control over the Consumer Market under the Ministry of Economic Development (see the Decree of the President of the Azerbaijan Republic "On Improvement of the activity in the sphere of Antimonopoly Policy and Protection of Consumers' Rights" No 113, dated 24 June 2009).</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35" w:right="120" w:firstLine="0"/>
              <w:jc w:val="both"/>
              <w:rPr>
                <w:sz w:val="16"/>
                <w:szCs w:val="16"/>
              </w:rPr>
            </w:pPr>
            <w:r w:rsidDel="00000000" w:rsidR="00000000" w:rsidRPr="00000000">
              <w:rPr>
                <w:sz w:val="16"/>
                <w:szCs w:val="16"/>
                <w:rtl w:val="0"/>
              </w:rPr>
              <w:t xml:space="preserve">The State Service for Antimonopoly and Consumer Market Control, within the Ministry of Economy, was created in 2018. In 2024, the President of Azerbaijan issued a decree reorganizing the State Service for Antimonopoly and Consumer Market Control of the Ministry of Economy into the State Agency for Antimonopoly and Consumer Market Control, under the supervision of the Presidency of Azerbaijan. The State Agency is the central executive authority exercising competition policy and regulating antitrust, unfair competition, public procurement, and consumer rights issues.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35" w:right="120" w:firstLine="0"/>
              <w:jc w:val="both"/>
              <w:rPr>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35" w:right="120" w:firstLine="0"/>
              <w:jc w:val="both"/>
              <w:rPr>
                <w:color w:val="0000ff"/>
                <w:sz w:val="16"/>
                <w:szCs w:val="16"/>
                <w:u w:val="single"/>
              </w:rPr>
            </w:pPr>
            <w:r w:rsidDel="00000000" w:rsidR="00000000" w:rsidRPr="00000000">
              <w:rPr>
                <w:b w:val="1"/>
                <w:color w:val="000000"/>
                <w:sz w:val="16"/>
                <w:szCs w:val="16"/>
                <w:rtl w:val="0"/>
              </w:rPr>
              <w:t xml:space="preserve">Website: </w:t>
            </w:r>
            <w:hyperlink r:id="rId7">
              <w:r w:rsidDel="00000000" w:rsidR="00000000" w:rsidRPr="00000000">
                <w:rPr>
                  <w:color w:val="1155cc"/>
                  <w:sz w:val="16"/>
                  <w:szCs w:val="16"/>
                  <w:u w:val="single"/>
                  <w:rtl w:val="0"/>
                </w:rPr>
                <w:t xml:space="preserve">https://competition.gov.az/en</w:t>
              </w:r>
            </w:hyperlink>
            <w:r w:rsidDel="00000000" w:rsidR="00000000" w:rsidRPr="00000000">
              <w:rPr>
                <w:sz w:val="16"/>
                <w:szCs w:val="16"/>
                <w:rtl w:val="0"/>
              </w:rPr>
              <w:t xml:space="preserve">.</w:t>
            </w:r>
            <w:r w:rsidDel="00000000" w:rsidR="00000000" w:rsidRPr="00000000">
              <w:rPr>
                <w:color w:val="000000"/>
                <w:sz w:val="16"/>
                <w:szCs w:val="16"/>
                <w:rtl w:val="0"/>
              </w:rPr>
              <w:t xml:space="preserve">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35" w:right="120" w:firstLine="0"/>
              <w:jc w:val="both"/>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360"/>
              </w:tabs>
              <w:spacing w:before="119" w:line="276" w:lineRule="auto"/>
              <w:ind w:left="107" w:right="220"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Azerbaijan has one authority with a general mandate to enforce competition law infringements.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State Service: was established by Decree of the President “On Improvement of the activity in the sphere of Antimonopoly Policy and Protection of Consumers’ Rights” No. 113 in 2009. The agency is part of the Ministry of Economy. The agency oversees state policy  in the areas of antimonopoly, unfair competition, public procurement, advertising, technical regulation, standardization, metrology, conformity assessment, accreditation, quality management, and consumer rights protection (see Decree No. 1017 dated May 12, 2020).</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19" w:line="276" w:lineRule="auto"/>
              <w:ind w:left="107" w:right="86" w:firstLine="0"/>
              <w:jc w:val="both"/>
              <w:rPr>
                <w:sz w:val="16"/>
                <w:szCs w:val="16"/>
              </w:rPr>
            </w:pPr>
            <w:r w:rsidDel="00000000" w:rsidR="00000000" w:rsidRPr="00000000">
              <w:rPr>
                <w:rtl w:val="0"/>
              </w:rPr>
            </w:r>
          </w:p>
          <w:p w:rsidR="00000000" w:rsidDel="00000000" w:rsidP="00000000" w:rsidRDefault="00000000" w:rsidRPr="00000000" w14:paraId="00000053">
            <w:pPr>
              <w:spacing w:before="119" w:line="276" w:lineRule="auto"/>
              <w:ind w:left="107" w:right="86" w:firstLine="0"/>
              <w:jc w:val="both"/>
              <w:rPr>
                <w:sz w:val="16"/>
                <w:szCs w:val="16"/>
              </w:rPr>
            </w:pPr>
            <w:r w:rsidDel="00000000" w:rsidR="00000000" w:rsidRPr="00000000">
              <w:rPr>
                <w:i w:val="1"/>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19" w:line="276" w:lineRule="auto"/>
              <w:ind w:right="86"/>
              <w:rPr>
                <w:color w:val="000000"/>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119" w:line="276" w:lineRule="auto"/>
              <w:ind w:right="220"/>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right="86"/>
              <w:jc w:val="both"/>
              <w:rPr>
                <w:b w:val="1"/>
                <w:smallCaps w:val="1"/>
                <w:color w:val="000000"/>
                <w:sz w:val="20"/>
                <w:szCs w:val="20"/>
              </w:rPr>
            </w:pPr>
            <w:r w:rsidDel="00000000" w:rsidR="00000000" w:rsidRPr="00000000">
              <w:rPr>
                <w:color w:val="000000"/>
                <w:sz w:val="16"/>
                <w:szCs w:val="16"/>
                <w:rtl w:val="0"/>
              </w:rPr>
              <w:t xml:space="preserve">No</w:t>
            </w: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19" w:line="276" w:lineRule="auto"/>
              <w:ind w:left="107" w:right="220"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9" w:line="276" w:lineRule="auto"/>
              <w:ind w:right="86"/>
              <w:jc w:val="both"/>
              <w:rPr>
                <w:b w:val="1"/>
                <w:smallCaps w:val="1"/>
                <w:color w:val="000000"/>
                <w:sz w:val="20"/>
                <w:szCs w:val="20"/>
              </w:rPr>
            </w:pPr>
            <w:r w:rsidDel="00000000" w:rsidR="00000000" w:rsidRPr="00000000">
              <w:rPr>
                <w:color w:val="000000"/>
                <w:sz w:val="16"/>
                <w:szCs w:val="16"/>
                <w:rtl w:val="0"/>
              </w:rPr>
              <w:t xml:space="preserve">No</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19" w:line="276" w:lineRule="auto"/>
              <w:ind w:right="210"/>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2">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before="119"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119" w:line="276" w:lineRule="auto"/>
              <w:ind w:left="107" w:right="43"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right="210"/>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8F">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119" w:line="276" w:lineRule="auto"/>
              <w:ind w:left="107" w:right="44"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19" w:line="276" w:lineRule="auto"/>
              <w:ind w:left="107" w:right="44" w:firstLine="0"/>
              <w:jc w:val="both"/>
              <w:rPr>
                <w:i w:val="1"/>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before="119" w:line="276" w:lineRule="auto"/>
              <w:ind w:right="210"/>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9C">
            <w:pPr>
              <w:spacing w:line="276" w:lineRule="auto"/>
              <w:jc w:val="center"/>
              <w:rPr>
                <w:sz w:val="16"/>
                <w:szCs w:val="16"/>
              </w:rPr>
            </w:pPr>
            <w:r w:rsidDel="00000000" w:rsidR="00000000" w:rsidRPr="00000000">
              <w:rPr>
                <w:sz w:val="16"/>
                <w:szCs w:val="16"/>
                <w:rtl w:val="0"/>
              </w:rPr>
              <w:t xml:space="preserve">Yes?</w:t>
            </w:r>
          </w:p>
        </w:tc>
        <w:tc>
          <w:tcPr>
            <w:gridSpan w:val="4"/>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19" w:line="276" w:lineRule="auto"/>
              <w:ind w:left="90" w:right="55" w:firstLine="0"/>
              <w:jc w:val="both"/>
              <w:rPr>
                <w:color w:val="000000"/>
                <w:sz w:val="16"/>
                <w:szCs w:val="16"/>
              </w:rPr>
            </w:pPr>
            <w:r w:rsidDel="00000000" w:rsidR="00000000" w:rsidRPr="00000000">
              <w:rPr>
                <w:color w:val="000000"/>
                <w:sz w:val="16"/>
                <w:szCs w:val="16"/>
                <w:rtl w:val="0"/>
              </w:rPr>
              <w:t xml:space="preserve">Law 1308-IVQ “On Citizen’s Appeals” dated September 30, 2015 (most recently amended February 17, 2023) states that citizens submit appeals (an application or complaint) to officials. Law No. 1113 “On Consumer Rights) states in Article 3 (“Consumer Rights”) that consumers may apply to the competent state bodies and the court for protection of their legal interests.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before="119" w:line="276" w:lineRule="auto"/>
              <w:ind w:right="44"/>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19" w:line="276" w:lineRule="auto"/>
              <w:ind w:left="107" w:right="130" w:firstLine="0"/>
              <w:rPr>
                <w:smallCaps w:val="1"/>
                <w:sz w:val="20"/>
                <w:szCs w:val="20"/>
              </w:rPr>
            </w:pPr>
            <w:r w:rsidDel="00000000" w:rsidR="00000000" w:rsidRPr="00000000">
              <w:rPr>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State Service for Antimonopoly Policy and Protection of Consumers’ Rights</w:t>
            </w:r>
          </w:p>
        </w:tc>
      </w:tr>
      <w:tr>
        <w:trPr>
          <w:cantSplit w:val="0"/>
          <w:trHeight w:val="465" w:hRule="atLeast"/>
          <w:tblHeader w:val="0"/>
        </w:trPr>
        <w:tc>
          <w:tcPr>
            <w:gridSpan w:val="12"/>
            <w:shd w:fill="b9a989"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ind w:right="-6"/>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color w:val="000000"/>
                <w:sz w:val="16"/>
                <w:szCs w:val="16"/>
                <w:rtl w:val="0"/>
              </w:rPr>
              <w:t xml:space="preserve"> </w:t>
            </w:r>
          </w:p>
        </w:tc>
      </w:tr>
      <w:tr>
        <w:trPr>
          <w:cantSplit w:val="0"/>
          <w:trHeight w:val="360" w:hRule="atLeast"/>
          <w:tblHeader w:val="0"/>
        </w:trPr>
        <w:tc>
          <w:tcPr>
            <w:gridSpan w:val="2"/>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w:t>
            </w:r>
          </w:p>
        </w:tc>
        <w:tc>
          <w:tcPr/>
          <w:p w:rsidR="00000000" w:rsidDel="00000000" w:rsidP="00000000" w:rsidRDefault="00000000" w:rsidRPr="00000000" w14:paraId="000000EC">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3.0.36 of Decree No. 1017, May 12, 2020 requires the Service to prepare annual reports on public procurement for the Ministry of Economy. 3.0.65 requires the Service to submit reports to the Ministry of Economy on the result of its activities.</w:t>
            </w:r>
          </w:p>
        </w:tc>
      </w:tr>
      <w:tr>
        <w:trPr>
          <w:cantSplit w:val="0"/>
          <w:trHeight w:val="276" w:hRule="atLeast"/>
          <w:tblHeader w:val="0"/>
        </w:trPr>
        <w:tc>
          <w:tcPr>
            <w:gridSpan w:val="2"/>
            <w:vMerge w:val="restart"/>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3.0.56 of Decree No. 1017 requires the Service to inform the population of its activities, create a website, and post public information, and ensure this information is updated and 3.0.65 requires the Service to submit a report to the Ministry of Economy on the results of its activities, but these provisions do not specify the frequency (e.g. annual report). </w:t>
            </w:r>
          </w:p>
        </w:tc>
      </w:tr>
      <w:tr>
        <w:trPr>
          <w:cantSplit w:val="0"/>
          <w:trHeight w:val="540" w:hRule="atLeast"/>
          <w:tblHeader w:val="0"/>
        </w:trPr>
        <w:tc>
          <w:tcPr>
            <w:gridSpan w:val="2"/>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ind w:left="115" w:right="158" w:firstLine="0"/>
              <w:rPr>
                <w:color w:val="000000"/>
                <w:sz w:val="16"/>
                <w:szCs w:val="16"/>
              </w:rPr>
            </w:pPr>
            <w:r w:rsidDel="00000000" w:rsidR="00000000" w:rsidRPr="00000000">
              <w:rPr>
                <w:color w:val="000000"/>
                <w:sz w:val="16"/>
                <w:szCs w:val="16"/>
                <w:rtl w:val="0"/>
              </w:rPr>
              <w:t xml:space="preserve">3.0.1 of Decree No. 1017 states that the Service should participate in preparation of drafts of legal acts and give opinions and suggestions, however the provision to specify the frequency (annual, etc) of this task.</w:t>
            </w:r>
          </w:p>
        </w:tc>
      </w:tr>
      <w:tr>
        <w:trPr>
          <w:cantSplit w:val="0"/>
          <w:trHeight w:val="539" w:hRule="atLeast"/>
          <w:tblHeader w:val="0"/>
        </w:trPr>
        <w:tc>
          <w:tcPr>
            <w:gridSpan w:val="2"/>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1C">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1"/>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3.0.10 of Decree No. 1017 requires the Service to appeal to the court if its decisions are not fulfilled.</w:t>
            </w:r>
          </w:p>
        </w:tc>
      </w:tr>
      <w:tr>
        <w:trPr>
          <w:cantSplit w:val="0"/>
          <w:trHeight w:val="224" w:hRule="atLeast"/>
          <w:tblHeader w:val="0"/>
        </w:trPr>
        <w:tc>
          <w:tcPr>
            <w:gridSpan w:val="2"/>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108" w:right="120" w:firstLine="0"/>
              <w:rPr>
                <w:b w:val="1"/>
                <w:sz w:val="16"/>
                <w:szCs w:val="16"/>
              </w:rPr>
            </w:pPr>
            <w:r w:rsidDel="00000000" w:rsidR="00000000" w:rsidRPr="00000000">
              <w:rPr>
                <w:b w:val="1"/>
                <w:color w:val="000000"/>
                <w:sz w:val="16"/>
                <w:szCs w:val="16"/>
                <w:rtl w:val="0"/>
              </w:rPr>
              <w:t xml:space="preserve">Other obligations/comments:</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left="108" w:right="120" w:firstLine="0"/>
              <w:rPr>
                <w:b w:val="1"/>
                <w:sz w:val="16"/>
                <w:szCs w:val="16"/>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276" w:lineRule="auto"/>
              <w:ind w:left="108" w:right="120" w:firstLine="0"/>
              <w:jc w:val="both"/>
              <w:rPr>
                <w:i w:val="1"/>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ind w:left="108" w:right="120" w:firstLine="0"/>
              <w:jc w:val="both"/>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180" w:hRule="atLeast"/>
          <w:tblHeader w:val="0"/>
        </w:trPr>
        <w:tc>
          <w:tcPr>
            <w:gridSpan w:val="2"/>
            <w:shd w:fill="d2c7b4" w:val="cle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Section 5 “Organization of Service Activity” of Decree No. 1017 specifies </w:t>
            </w:r>
            <w:r w:rsidDel="00000000" w:rsidR="00000000" w:rsidRPr="00000000">
              <w:rPr>
                <w:sz w:val="16"/>
                <w:szCs w:val="16"/>
                <w:rtl w:val="0"/>
              </w:rPr>
              <w:t xml:space="preserve">that the President</w:t>
            </w:r>
            <w:r w:rsidDel="00000000" w:rsidR="00000000" w:rsidRPr="00000000">
              <w:rPr>
                <w:color w:val="000000"/>
                <w:sz w:val="16"/>
                <w:szCs w:val="16"/>
                <w:rtl w:val="0"/>
              </w:rPr>
              <w:t xml:space="preserve"> appoints and removes the Chief and deputies, however the exact criteria are not specified.</w:t>
            </w:r>
          </w:p>
        </w:tc>
      </w:tr>
      <w:tr>
        <w:trPr>
          <w:cantSplit w:val="0"/>
          <w:trHeight w:val="359" w:hRule="atLeast"/>
          <w:tblHeader w:val="0"/>
        </w:trPr>
        <w:tc>
          <w:tcPr>
            <w:gridSpan w:val="2"/>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introduce the relevant provisions, and if the answer to the question is “yes”, explain in which cases the executive can decide on public interest bases.]</w:t>
            </w:r>
          </w:p>
        </w:tc>
      </w:tr>
      <w:tr>
        <w:trPr>
          <w:cantSplit w:val="0"/>
          <w:trHeight w:val="360" w:hRule="atLeast"/>
          <w:tblHeader w:val="0"/>
        </w:trPr>
        <w:tc>
          <w:tcPr>
            <w:gridSpan w:val="2"/>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1" w:line="276" w:lineRule="auto"/>
              <w:rPr>
                <w:color w:val="000000"/>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[Please introduce the relevant provisions.]</w:t>
            </w:r>
            <w:r w:rsidDel="00000000" w:rsidR="00000000" w:rsidRPr="00000000">
              <w:rPr>
                <w:color w:val="000000"/>
                <w:sz w:val="16"/>
                <w:szCs w:val="16"/>
                <w:rtl w:val="0"/>
              </w:rPr>
              <w:t xml:space="preserve">3.0.56 of Decree No. 1017 requires the Service to inform the population of its activities, create a website, and post public information, and ensure this information is updated.</w:t>
            </w:r>
          </w:p>
        </w:tc>
      </w:tr>
      <w:tr>
        <w:trPr>
          <w:cantSplit w:val="0"/>
          <w:trHeight w:val="539" w:hRule="atLeast"/>
          <w:tblHeader w:val="0"/>
        </w:trPr>
        <w:tc>
          <w:tcPr>
            <w:gridSpan w:val="2"/>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color w:val="000000"/>
                <w:sz w:val="16"/>
                <w:szCs w:val="16"/>
                <w:rtl w:val="0"/>
              </w:rPr>
              <w:t xml:space="preserve">Section 1.5 of Decree No. 1017 states that the agency is financed from Azerbaijan’s budget.</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8E">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shd w:fill="auto" w:val="clea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color w:val="000000"/>
                <w:sz w:val="16"/>
                <w:szCs w:val="16"/>
                <w:rtl w:val="0"/>
              </w:rPr>
              <w:t xml:space="preserve">Article 17 of Law No. 526 “ On Antimonopoly Activity” states that profits obtained by violating the law must be paid to the state budget. Articles 11-13 of Law No. 1049 “On Unfair Competition” state that financial sanctions are paid to the state budget.</w:t>
            </w:r>
          </w:p>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107" w:right="113"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Single chairman.</w:t>
            </w:r>
          </w:p>
        </w:tc>
      </w:tr>
      <w:tr>
        <w:trPr>
          <w:cantSplit w:val="0"/>
          <w:trHeight w:val="179" w:hRule="atLeast"/>
          <w:tblHeader w:val="0"/>
        </w:trPr>
        <w:tc>
          <w:tcPr>
            <w:gridSpan w:val="2"/>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5.3 and 5.4 of Decree No. 1017 states that the President of Azerbaijan appoints and dismisses both the chairman of the Service as well as the four deputy chiefs under the chairman. 5.5 of Decree No. 1017 states that the Chief, with agreement of the Ministry of Economy, distributes duties among the deputy chiefs and submits a proposal for the structure, staffing, and cost estimates to the Ministry of Economy. The Chairman appoints and dismisses employees (other than the four deputy chiefs which are appointed and dismissed by the President).</w:t>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Not specified</w:t>
            </w:r>
          </w:p>
        </w:tc>
        <w:tc>
          <w:tcPr>
            <w:gridSpan w:val="6"/>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line="276" w:lineRule="auto"/>
              <w:ind w:right="131"/>
              <w:rPr>
                <w:color w:val="000000"/>
                <w:sz w:val="16"/>
                <w:szCs w:val="16"/>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pacing w:line="276" w:lineRule="auto"/>
              <w:ind w:right="131"/>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76" w:lineRule="auto"/>
              <w:ind w:right="131"/>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color w:val="000000"/>
                <w:sz w:val="16"/>
                <w:szCs w:val="16"/>
                <w:rtl w:val="0"/>
              </w:rPr>
              <w:t xml:space="preserve">5.5.7 of Decree No. 1017 states that the Chair is responsible for ensuring the professional training of employees, but the law does not state specific minimum qualifications. Law No. 926-IQ “On Civil Service” dated July 21, 2000 (most recently updated May 30, 2023) outlines the general guidelines for civil service employment.</w:t>
            </w:r>
          </w:p>
        </w:tc>
      </w:tr>
      <w:tr>
        <w:trPr>
          <w:cantSplit w:val="0"/>
          <w:trHeight w:val="465" w:hRule="atLeast"/>
          <w:tblHeader w:val="0"/>
        </w:trPr>
        <w:tc>
          <w:tcPr>
            <w:gridSpan w:val="12"/>
            <w:shd w:fill="b9a989" w:val="clea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Part of the Ministry of Economy</w:t>
            </w:r>
          </w:p>
        </w:tc>
        <w:tc>
          <w:tcPr>
            <w:gridSpan w:val="6"/>
          </w:tcPr>
          <w:p w:rsidR="00000000" w:rsidDel="00000000" w:rsidP="00000000" w:rsidRDefault="00000000" w:rsidRPr="00000000" w14:paraId="00000201">
            <w:pPr>
              <w:pBdr>
                <w:top w:space="0" w:sz="0" w:val="nil"/>
                <w:left w:space="0" w:sz="0" w:val="nil"/>
                <w:bottom w:space="0" w:sz="0" w:val="nil"/>
                <w:right w:space="0" w:sz="0" w:val="nil"/>
                <w:between w:space="0" w:sz="0" w:val="nil"/>
              </w:pBdr>
              <w:tabs>
                <w:tab w:val="left" w:leader="none" w:pos="902"/>
              </w:tabs>
              <w:spacing w:line="276" w:lineRule="auto"/>
              <w:ind w:left="108" w:right="120" w:firstLine="0"/>
              <w:rPr>
                <w:color w:val="000000"/>
                <w:sz w:val="16"/>
                <w:szCs w:val="16"/>
              </w:rPr>
            </w:pPr>
            <w:r w:rsidDel="00000000" w:rsidR="00000000" w:rsidRPr="00000000">
              <w:rPr>
                <w:color w:val="000000"/>
                <w:sz w:val="16"/>
                <w:szCs w:val="16"/>
                <w:rtl w:val="0"/>
              </w:rPr>
              <w:t xml:space="preserve">The Service is part of the Ministry of Economy (see Section 1 of Decree No. 1017). </w:t>
            </w:r>
          </w:p>
        </w:tc>
      </w:tr>
      <w:tr>
        <w:trPr>
          <w:cantSplit w:val="0"/>
          <w:trHeight w:val="463" w:hRule="atLeast"/>
          <w:tblHeader w:val="0"/>
        </w:trPr>
        <w:tc>
          <w:tcPr>
            <w:gridSpan w:val="12"/>
            <w:shd w:fill="b9a989" w:val="clea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line="276" w:lineRule="auto"/>
              <w:ind w:right="83"/>
              <w:jc w:val="center"/>
              <w:rPr>
                <w:color w:val="000000"/>
                <w:sz w:val="16"/>
                <w:szCs w:val="16"/>
              </w:rPr>
            </w:pPr>
            <w:sdt>
              <w:sdtPr>
                <w:tag w:val="goog_rdk_2"/>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line="276" w:lineRule="auto"/>
              <w:ind w:right="83"/>
              <w:jc w:val="center"/>
              <w:rPr>
                <w:color w:val="000000"/>
                <w:sz w:val="16"/>
                <w:szCs w:val="16"/>
              </w:rPr>
            </w:pPr>
            <w:sdt>
              <w:sdtPr>
                <w:tag w:val="goog_rdk_3"/>
              </w:sdtPr>
              <w:sdtContent>
                <w:r w:rsidDel="00000000" w:rsidR="00000000" w:rsidRPr="00000000">
                  <w:rPr>
                    <w:rFonts w:ascii="Gungsuh" w:cs="Gungsuh" w:eastAsia="Gungsuh" w:hAnsi="Gungsuh"/>
                    <w:color w:val="008000"/>
                    <w:sz w:val="16"/>
                    <w:szCs w:val="16"/>
                    <w:rtl w:val="0"/>
                  </w:rPr>
                  <w:t xml:space="preserve">√</w:t>
                </w:r>
              </w:sdtContent>
            </w:sdt>
            <w:r w:rsidDel="00000000" w:rsidR="00000000" w:rsidRPr="00000000">
              <w:rPr>
                <w:rtl w:val="0"/>
              </w:rPr>
            </w:r>
          </w:p>
        </w:tc>
        <w:tc>
          <w:tcPr>
            <w:gridSpan w:val="2"/>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w:t>
            </w:r>
            <w:r w:rsidDel="00000000" w:rsidR="00000000" w:rsidRPr="00000000">
              <w:rPr>
                <w:rtl w:val="0"/>
              </w:rPr>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Include any other mandates entrusted to the Competition Authority]</w:t>
            </w:r>
            <w:r w:rsidDel="00000000" w:rsidR="00000000" w:rsidRPr="00000000">
              <w:rPr>
                <w:color w:val="000000"/>
                <w:sz w:val="16"/>
                <w:szCs w:val="16"/>
                <w:rtl w:val="0"/>
              </w:rPr>
              <w:t xml:space="preserve"> </w:t>
            </w:r>
          </w:p>
          <w:p w:rsidR="00000000" w:rsidDel="00000000" w:rsidP="00000000" w:rsidRDefault="00000000" w:rsidRPr="00000000" w14:paraId="00000236">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Article 10 of Law No. 526 prohibits illegal horizontal and vertical agreements which cause or may cause restriction of competition, including cartel deals, which are defined as two or more economic entities competing in the same commodity market in order to exclude other competitors from the market and/or to prevent new competitors from entering the market. Under Article 17, parties may be ordered to pay the profit obtained by violating the law to the state budget, stop the violation, restore the original situation, or perform other actions.</w:t>
            </w:r>
          </w:p>
          <w:p w:rsidR="00000000" w:rsidDel="00000000" w:rsidP="00000000" w:rsidRDefault="00000000" w:rsidRPr="00000000" w14:paraId="0000025C">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Part II of Law No. 526 outlines the various forms of prohibited monopolies. Specifically, Article 8 prohibits the illegal activities of entities that hold a dominant position in the market that lead to, or may lead to, restriction of competition. Part III of Law No. 526 outlines the various regulatory remedies available. Under Article 15, if an economic subject occupying a dominant position performs monopolistic activities and those activities lead to considerable restriction of competition, the Service may issue a decision to divide the entity. Under Article 17, economic subjects may be forced to pay illegal profits to the state budget, cease the violation, or take other actions.</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line="276" w:lineRule="auto"/>
              <w:ind w:left="105" w:right="135"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Article 13 of Law No. 526 states that the Service exercises control over mergers that result in an entity with a market share exceeding 35%, mergers whose total value of assets in Azerbaijan exceeds an amount equivalent to seventy five thousand times the size of the minimum wage, and liquidation whose total value of assets in Azerbaijan exceed an amount equivalent to fifty thousand times the size of the minimum wage. Economic subjects that meet these thresholds must submit a petition to the Service that includes a copy. Of the relevant agreement and information on the volume of sales in the relevant market. After receiving the documents, the Service will notify the petitioners on the status of the decision within 15 days. If the Service does not approve the petition, the merger may be considered invalid by the court.</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Article 13 of Law No. 526 states that the Service exercises control over mergers that result in an entity with a market share exceeding 35%, mergers whose total value of assets in Azerbaijan exceeds an amount equivalent to seventy five thousand times the size of the minimum wage, and liquidation whose total value of assets in Azerbaijan exceed an amount equivalent to fifty thousand times the size of the minimum wage.</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Article 13 of Law No. 526 states that if consent is not obtained, the merger may be considered invalid by the court.</w:t>
            </w:r>
          </w:p>
        </w:tc>
      </w:tr>
      <w:tr>
        <w:trPr>
          <w:cantSplit w:val="0"/>
          <w:trHeight w:val="958" w:hRule="atLeast"/>
          <w:tblHeader w:val="0"/>
        </w:trPr>
        <w:tc>
          <w:tcPr>
            <w:gridSpan w:val="3"/>
          </w:tcPr>
          <w:p w:rsidR="00000000" w:rsidDel="00000000" w:rsidP="00000000" w:rsidRDefault="00000000" w:rsidRPr="00000000" w14:paraId="00000294">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97">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9D">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Article 13 of Law No. 526 states that if consent is not obtained, the merger may be considered invalid by the court. Article 18 of Law No. 526 states that if the parties did not provide the required documents and information specified in Article 13, they may be fined AZN 5,500 (USD $3,235.29)</w:t>
            </w:r>
          </w:p>
        </w:tc>
      </w:tr>
      <w:tr>
        <w:trPr>
          <w:cantSplit w:val="0"/>
          <w:trHeight w:val="958" w:hRule="atLeast"/>
          <w:tblHeader w:val="0"/>
        </w:trPr>
        <w:tc>
          <w:tcPr>
            <w:gridSpan w:val="3"/>
          </w:tcPr>
          <w:p w:rsidR="00000000" w:rsidDel="00000000" w:rsidP="00000000" w:rsidRDefault="00000000" w:rsidRPr="00000000" w14:paraId="000002A1">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2A4">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AA">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Article 17 of Law No. 526 states that in addition to payment of fines, consequences of violating the law include stopping the violation, restoring the original situation, changing or breaking the contract, and performing other actions. </w:t>
            </w:r>
          </w:p>
        </w:tc>
      </w:tr>
      <w:tr>
        <w:trPr>
          <w:cantSplit w:val="0"/>
          <w:trHeight w:val="958" w:hRule="atLeast"/>
          <w:tblHeader w:val="0"/>
        </w:trPr>
        <w:tc>
          <w:tcPr>
            <w:gridSpan w:val="3"/>
          </w:tcPr>
          <w:p w:rsidR="00000000" w:rsidDel="00000000" w:rsidP="00000000" w:rsidRDefault="00000000" w:rsidRPr="00000000" w14:paraId="000002A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2B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Not specified</w:t>
            </w:r>
          </w:p>
        </w:tc>
        <w:tc>
          <w:tcPr>
            <w:gridSpan w:val="3"/>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spacing w:line="276" w:lineRule="auto"/>
              <w:ind w:left="105" w:right="135" w:firstLine="0"/>
              <w:jc w:val="both"/>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tc>
      </w:tr>
      <w:tr>
        <w:trPr>
          <w:cantSplit w:val="0"/>
          <w:trHeight w:val="359" w:hRule="atLeast"/>
          <w:tblHeader w:val="0"/>
        </w:trPr>
        <w:tc>
          <w:tcPr>
            <w:gridSpan w:val="3"/>
          </w:tcPr>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2BE">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C4">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color w:val="000000"/>
                <w:sz w:val="16"/>
                <w:szCs w:val="16"/>
                <w:rtl w:val="0"/>
              </w:rPr>
              <w:t xml:space="preserve">3.0.6. of Decree No. 1017 states that the Service is responsible for reviewing cases of violation of anti-monopoly legislation and conduct of entrepreneurial activity in unfair ways, detection and elimination of unfair competition cases applied by market subjects, cartel deals of business subjects, restoration of the initial situation in the market, as well as bringing the violators to account in the manner determined by the anti-monopoly legislation.</w:t>
            </w:r>
          </w:p>
        </w:tc>
      </w:tr>
      <w:tr>
        <w:trPr>
          <w:cantSplit w:val="0"/>
          <w:trHeight w:val="358" w:hRule="atLeast"/>
          <w:tblHeader w:val="0"/>
        </w:trPr>
        <w:tc>
          <w:tcPr>
            <w:gridSpan w:val="3"/>
          </w:tcPr>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2D1">
            <w:pPr>
              <w:pBdr>
                <w:top w:space="0" w:sz="0" w:val="nil"/>
                <w:left w:space="0" w:sz="0" w:val="nil"/>
                <w:bottom w:space="0" w:sz="0" w:val="nil"/>
                <w:right w:space="0" w:sz="0" w:val="nil"/>
                <w:between w:space="0" w:sz="0" w:val="nil"/>
              </w:pBdr>
              <w:spacing w:line="276" w:lineRule="auto"/>
              <w:ind w:left="105" w:right="135" w:firstLine="0"/>
              <w:jc w:val="both"/>
              <w:rPr>
                <w:sz w:val="16"/>
                <w:szCs w:val="16"/>
              </w:rPr>
            </w:pP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ind w:left="105"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line="276" w:lineRule="auto"/>
              <w:ind w:left="105" w:right="135" w:firstLine="0"/>
              <w:jc w:val="both"/>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2D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145" w:firstLine="0"/>
              <w:rPr>
                <w:color w:val="000000"/>
                <w:sz w:val="16"/>
                <w:szCs w:val="16"/>
              </w:rPr>
            </w:pPr>
            <w:r w:rsidDel="00000000" w:rsidR="00000000" w:rsidRPr="00000000">
              <w:rPr>
                <w:rtl w:val="0"/>
              </w:rPr>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left="145" w:right="90" w:firstLine="0"/>
              <w:jc w:val="both"/>
              <w:rPr>
                <w:color w:val="000000"/>
                <w:sz w:val="16"/>
                <w:szCs w:val="16"/>
              </w:rPr>
            </w:pPr>
            <w:r w:rsidDel="00000000" w:rsidR="00000000" w:rsidRPr="00000000">
              <w:rPr>
                <w:color w:val="000000"/>
                <w:sz w:val="16"/>
                <w:szCs w:val="16"/>
                <w:rtl w:val="0"/>
              </w:rPr>
              <w:t xml:space="preserve">Article 18 of Law No. 526 states that persons provided for in that law bear criminal responsibility. Article 14 of Law No. 1049 also states that persons who violate that law bear criminal responsibility. Article 199 of the Criminal Code states that engaging in monopolistic actions shall be punished by a fine of one hundred to five hundred times the minimum wage or correctional work for up to one year or restriction of freedom for up to two years. When monopolistic actions are committed by a group of persons, conspirators are punished by imprisonment for up to two years.</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145" w:firstLine="0"/>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2E4">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2F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9">
            <w:pPr>
              <w:pBdr>
                <w:top w:space="0" w:sz="0" w:val="nil"/>
                <w:left w:space="0" w:sz="0" w:val="nil"/>
                <w:bottom w:space="0" w:sz="0" w:val="nil"/>
                <w:right w:space="0" w:sz="0" w:val="nil"/>
                <w:between w:space="0" w:sz="0" w:val="nil"/>
              </w:pBdr>
              <w:spacing w:line="276" w:lineRule="auto"/>
              <w:ind w:left="107" w:right="43" w:firstLine="0"/>
              <w:rPr>
                <w:color w:val="000000"/>
                <w:sz w:val="16"/>
                <w:szCs w:val="16"/>
              </w:rPr>
            </w:pPr>
            <w:r w:rsidDel="00000000" w:rsidR="00000000" w:rsidRPr="00000000">
              <w:rPr>
                <w:color w:val="000000"/>
                <w:sz w:val="16"/>
                <w:szCs w:val="16"/>
                <w:rtl w:val="0"/>
              </w:rPr>
              <w:t xml:space="preserve">3.0.1 of Decree No. 1017 states that the Service should participate in preparation of drafts of legal acts and give opinions and suggestions,</w:t>
            </w:r>
          </w:p>
        </w:tc>
      </w:tr>
      <w:tr>
        <w:trPr>
          <w:cantSplit w:val="0"/>
          <w:trHeight w:val="717" w:hRule="atLeast"/>
          <w:tblHeader w:val="0"/>
        </w:trPr>
        <w:tc>
          <w:tcPr>
            <w:gridSpan w:val="3"/>
          </w:tcPr>
          <w:p w:rsidR="00000000" w:rsidDel="00000000" w:rsidP="00000000" w:rsidRDefault="00000000" w:rsidRPr="00000000" w14:paraId="000002F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2F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00">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0A">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1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32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37">
            <w:pPr>
              <w:pBdr>
                <w:top w:space="0" w:sz="0" w:val="nil"/>
                <w:left w:space="0" w:sz="0" w:val="nil"/>
                <w:bottom w:space="0" w:sz="0" w:val="nil"/>
                <w:right w:space="0" w:sz="0" w:val="nil"/>
                <w:between w:space="0" w:sz="0" w:val="nil"/>
              </w:pBdr>
              <w:spacing w:before="1" w:line="276" w:lineRule="auto"/>
              <w:ind w:right="82"/>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2"/>
          </w:tcPr>
          <w:p w:rsidR="00000000" w:rsidDel="00000000" w:rsidP="00000000" w:rsidRDefault="00000000" w:rsidRPr="00000000" w14:paraId="00000338">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3E">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No</w:t>
            </w:r>
            <w:r w:rsidDel="00000000" w:rsidR="00000000" w:rsidRPr="00000000">
              <w:rPr>
                <w:rtl w:val="0"/>
              </w:rPr>
            </w:r>
          </w:p>
        </w:tc>
        <w:tc>
          <w:tcPr>
            <w:gridSpan w:val="3"/>
            <w:shd w:fill="auto" w:val="clear"/>
          </w:tcPr>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B">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spacing w:line="276" w:lineRule="auto"/>
              <w:ind w:left="135" w:right="90" w:firstLine="0"/>
              <w:jc w:val="both"/>
              <w:rPr>
                <w:color w:val="000000"/>
                <w:sz w:val="16"/>
                <w:szCs w:val="16"/>
              </w:rPr>
            </w:pPr>
            <w:r w:rsidDel="00000000" w:rsidR="00000000" w:rsidRPr="00000000">
              <w:rPr>
                <w:color w:val="000000"/>
                <w:sz w:val="16"/>
                <w:szCs w:val="16"/>
                <w:rtl w:val="0"/>
              </w:rPr>
              <w:t xml:space="preserve">3.0.9 of Decree No. 1017 directs the Service to conduct monitoring on each commodity market in order to prevent monopolization, restriction of competition, and other illegal acts.</w:t>
            </w:r>
          </w:p>
        </w:tc>
      </w:tr>
      <w:tr>
        <w:trPr>
          <w:cantSplit w:val="0"/>
          <w:trHeight w:val="402" w:hRule="atLeast"/>
          <w:tblHeader w:val="0"/>
        </w:trPr>
        <w:tc>
          <w:tcPr>
            <w:gridSpan w:val="3"/>
          </w:tcPr>
          <w:p w:rsidR="00000000" w:rsidDel="00000000" w:rsidP="00000000" w:rsidRDefault="00000000" w:rsidRPr="00000000" w14:paraId="0000035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Not specified</w:t>
            </w:r>
          </w:p>
        </w:tc>
        <w:tc>
          <w:tcPr>
            <w:gridSpan w:val="3"/>
          </w:tcPr>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line="276" w:lineRule="auto"/>
              <w:ind w:left="135" w:firstLine="0"/>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36A">
            <w:pPr>
              <w:pBdr>
                <w:top w:space="0" w:sz="0" w:val="nil"/>
                <w:left w:space="0" w:sz="0" w:val="nil"/>
                <w:bottom w:space="0" w:sz="0" w:val="nil"/>
                <w:right w:space="0" w:sz="0" w:val="nil"/>
                <w:between w:space="0" w:sz="0" w:val="nil"/>
              </w:pBdr>
              <w:spacing w:line="276" w:lineRule="auto"/>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6D">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79">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388">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8E">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3.0.5 of Decree No. 1017 states that the Service has a duty to investigate the state of competition, determine the dominant position of economic entities, and maintain the state register of economic entities whose share in the commodity market exceeds the limit determined by the antimonopoly legislation.</w:t>
            </w:r>
          </w:p>
          <w:p w:rsidR="00000000" w:rsidDel="00000000" w:rsidP="00000000" w:rsidRDefault="00000000" w:rsidRPr="00000000" w14:paraId="0000038F">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Decision of the Cabinet of Ministers No. 120 dated May 29, 1998 (most recently amended October 1, 2022) states that when signs of violation of antimonopoly legislation is detected, the Chairman created a Commission for consideration of a specific case and adopt a decision.</w:t>
            </w:r>
          </w:p>
        </w:tc>
      </w:tr>
      <w:tr>
        <w:trPr>
          <w:cantSplit w:val="0"/>
          <w:trHeight w:val="359" w:hRule="atLeast"/>
          <w:tblHeader w:val="0"/>
        </w:trPr>
        <w:tc>
          <w:tcPr>
            <w:gridSpan w:val="3"/>
          </w:tcPr>
          <w:p w:rsidR="00000000" w:rsidDel="00000000" w:rsidP="00000000" w:rsidRDefault="00000000" w:rsidRPr="00000000" w14:paraId="0000039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395">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9B">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The Service may impose fines of up to AZN 55 (USD $32.35) for each delayed day that legal instructions are not followed, but not more than AZN 22,000 (USD $12,941.18) (see Article 18 of Law No. 526). If parties do not provide the required information they may be fined AZN 5,500 (USD $3,235.29) (Article 18 of Law No. 526). Article 12 of Law No. 1049 specifies financial sanctions for violation of that law (one times the income obtained from stolen goods for violation of Article 4; 10% of income from stolen goods for violation of Articles 5, 6, 7, 8, 9; up to 10% of total income obtained in the last 3 months for all prohibited activities for failure to fulfill or timely implement instructions from the Service; 5% of total income obtained in the last 3 months for all prohibited activities for intentionally providing incorrect information or not providing information to the Service).</w:t>
            </w:r>
          </w:p>
        </w:tc>
      </w:tr>
      <w:tr>
        <w:trPr>
          <w:cantSplit w:val="0"/>
          <w:trHeight w:val="537" w:hRule="atLeast"/>
          <w:tblHeader w:val="0"/>
        </w:trPr>
        <w:tc>
          <w:tcPr>
            <w:gridSpan w:val="3"/>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3A2">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A8">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Decision of the Cabinet of Ministers No. 120 dated May 29, 1998 (most recently amended October 1, 2022) states that when signs of violation of antimonopoly legislation is detected, the Chairman created a Commission for consideration of a specific case and adopt a decision. The Commission must be composed of no less than three people. Consideration of a case may be delayed due to various reasons, such as needing to retain an expert witness. After the Commission adopts a decision, notice is sent to the parties within 10 days.</w:t>
            </w:r>
          </w:p>
        </w:tc>
      </w:tr>
      <w:tr>
        <w:trPr>
          <w:cantSplit w:val="0"/>
          <w:trHeight w:val="359" w:hRule="atLeast"/>
          <w:tblHeader w:val="0"/>
        </w:trPr>
        <w:tc>
          <w:tcPr>
            <w:gridSpan w:val="3"/>
          </w:tcPr>
          <w:p w:rsidR="00000000" w:rsidDel="00000000" w:rsidP="00000000" w:rsidRDefault="00000000" w:rsidRPr="00000000" w14:paraId="000003A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3A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3B0">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3B6">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rtl w:val="0"/>
              </w:rPr>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line="276" w:lineRule="auto"/>
              <w:ind w:left="90" w:right="90" w:firstLine="0"/>
              <w:jc w:val="both"/>
              <w:rPr>
                <w:color w:val="000000"/>
                <w:sz w:val="16"/>
                <w:szCs w:val="16"/>
              </w:rPr>
            </w:pPr>
            <w:r w:rsidDel="00000000" w:rsidR="00000000" w:rsidRPr="00000000">
              <w:rPr>
                <w:color w:val="000000"/>
                <w:sz w:val="16"/>
                <w:szCs w:val="16"/>
                <w:rtl w:val="0"/>
              </w:rPr>
              <w:t xml:space="preserve">Decisions may be appealed to the Supreme Court.</w:t>
            </w:r>
          </w:p>
        </w:tc>
      </w:tr>
      <w:tr>
        <w:trPr>
          <w:cantSplit w:val="0"/>
          <w:trHeight w:val="359" w:hRule="atLeast"/>
          <w:tblHeader w:val="0"/>
        </w:trPr>
        <w:tc>
          <w:tcPr>
            <w:gridSpan w:val="4"/>
          </w:tcPr>
          <w:p w:rsidR="00000000" w:rsidDel="00000000" w:rsidP="00000000" w:rsidRDefault="00000000" w:rsidRPr="00000000" w14:paraId="000003B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3BE">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3C6">
      <w:pPr>
        <w:spacing w:line="276" w:lineRule="auto"/>
        <w:rPr>
          <w:sz w:val="16"/>
          <w:szCs w:val="16"/>
        </w:rPr>
      </w:pPr>
      <w:r w:rsidDel="00000000" w:rsidR="00000000" w:rsidRPr="00000000">
        <w:rPr>
          <w:rtl w:val="0"/>
        </w:rPr>
      </w:r>
    </w:p>
    <w:p w:rsidR="00000000" w:rsidDel="00000000" w:rsidP="00000000" w:rsidRDefault="00000000" w:rsidRPr="00000000" w14:paraId="000003C7">
      <w:pPr>
        <w:spacing w:line="276" w:lineRule="auto"/>
        <w:ind w:left="1610" w:right="1610" w:firstLine="0"/>
        <w:jc w:val="center"/>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9">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8">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mpetition.gov.az/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ODoR6dGF1pfyZYnqmPLLj0kGFA==">CgMxLjAaFAoBMBIPCg0IB0IJEgdHdW5nc3VoGhQKATESDwoNCAdCCRIHR3VuZ3N1aBoUCgEyEg8KDQgHQgkSB0d1bmdzdWgaFAoBMxIPCg0IB0IJEgdHdW5nc3VoOABqSQo1c3VnZ2VzdElkSW1wb3J0Y2QwM2U4OGItMDg2Zi00NDk3LTkyNDAtNDRmYmQ4YmUzZTgzXzQSEEFsZWphbmRybyBJYmFycmFyITF5X2I2SFVTOEd4Q3JaQ1BzWjUtaVR0WEVSLUdJWTdoaw==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2023-07-13T10:12:00Z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