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Style w:val="Heading1"/>
              <w:spacing w:before="119" w:line="276" w:lineRule="auto"/>
              <w:ind w:left="3057" w:right="3051" w:firstLine="0"/>
              <w:jc w:val="center"/>
              <w:rPr/>
            </w:pPr>
            <w:bookmarkStart w:colFirst="0" w:colLast="0" w:name="_heading=h.ms5erkltz2ws" w:id="0"/>
            <w:bookmarkEnd w:id="0"/>
            <w:r w:rsidDel="00000000" w:rsidR="00000000" w:rsidRPr="00000000">
              <w:rPr>
                <w:rtl w:val="0"/>
              </w:rPr>
              <w:t xml:space="preserve">Russia</w:t>
            </w:r>
          </w:p>
        </w:tc>
      </w:tr>
      <w:tr>
        <w:trPr>
          <w:cantSplit w:val="0"/>
          <w:trHeight w:val="465" w:hRule="atLeast"/>
          <w:tblHeader w:val="0"/>
        </w:trPr>
        <w:tc>
          <w:tcPr>
            <w:gridSpan w:val="12"/>
            <w:shd w:fill="b9a989" w:val="clear"/>
          </w:tcPr>
          <w:p w:rsidR="00000000" w:rsidDel="00000000" w:rsidP="00000000" w:rsidRDefault="00000000" w:rsidRPr="00000000" w14:paraId="0000000E">
            <w:pPr>
              <w:pStyle w:val="Heading2"/>
              <w:spacing w:before="120" w:line="276" w:lineRule="auto"/>
              <w:ind w:left="3059" w:right="3051" w:firstLine="0"/>
              <w:jc w:val="center"/>
              <w:rPr/>
            </w:pPr>
            <w:bookmarkStart w:colFirst="0" w:colLast="0" w:name="_heading=h.t6nfus35q5cl" w:id="1"/>
            <w:bookmarkEnd w:id="1"/>
            <w:r w:rsidDel="00000000" w:rsidR="00000000" w:rsidRPr="00000000">
              <w:rPr>
                <w:rtl w:val="0"/>
              </w:rPr>
              <w:t xml:space="preserve">Competition Framework</w:t>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right="120" w:firstLine="0"/>
              <w:jc w:val="both"/>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107" w:right="120" w:firstLine="0"/>
              <w:jc w:val="both"/>
              <w:rPr>
                <w:color w:val="000000"/>
                <w:sz w:val="16"/>
                <w:szCs w:val="16"/>
              </w:rPr>
            </w:pPr>
            <w:r w:rsidDel="00000000" w:rsidR="00000000" w:rsidRPr="00000000">
              <w:rPr>
                <w:color w:val="000000"/>
                <w:sz w:val="16"/>
                <w:szCs w:val="16"/>
                <w:rtl w:val="0"/>
              </w:rPr>
              <w:t xml:space="preserve">Federal Law No. 135-FZ of July 26, 2006.</w:t>
            </w:r>
            <w:r w:rsidDel="00000000" w:rsidR="00000000" w:rsidRPr="00000000">
              <w:rPr>
                <w:color w:val="000000"/>
                <w:sz w:val="16"/>
                <w:szCs w:val="16"/>
                <w:rtl w:val="0"/>
              </w:rPr>
              <w:t xml:space="preserve"> The most recent amendment to Federal Law No. 135-FZ was Federal Law No. 620-FZ of December 29, 2022, which modified Articles 32 and 33.</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07" w:right="120" w:firstLine="0"/>
              <w:jc w:val="both"/>
              <w:rPr>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107" w:right="120" w:firstLine="0"/>
              <w:jc w:val="both"/>
              <w:rPr>
                <w:color w:val="0000ff"/>
                <w:sz w:val="16"/>
                <w:szCs w:val="16"/>
                <w:u w:val="single"/>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467" w:right="120" w:firstLine="0"/>
              <w:jc w:val="both"/>
              <w:rPr>
                <w:color w:val="000000"/>
                <w:sz w:val="16"/>
                <w:szCs w:val="16"/>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Federal Antimonopoly Service (FAS), created in 2004.</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right="120"/>
              <w:jc w:val="both"/>
              <w:rPr>
                <w:color w:val="000000"/>
                <w:sz w:val="16"/>
                <w:szCs w:val="1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7" w:right="120" w:firstLine="0"/>
              <w:jc w:val="both"/>
              <w:rPr>
                <w:color w:val="0000ff"/>
                <w:sz w:val="16"/>
                <w:szCs w:val="16"/>
                <w:u w:val="single"/>
              </w:rPr>
            </w:pPr>
            <w:r w:rsidDel="00000000" w:rsidR="00000000" w:rsidRPr="00000000">
              <w:rPr>
                <w:b w:val="1"/>
                <w:color w:val="000000"/>
                <w:sz w:val="16"/>
                <w:szCs w:val="16"/>
                <w:rtl w:val="0"/>
              </w:rPr>
              <w:t xml:space="preserve">Website: </w:t>
            </w:r>
            <w:r w:rsidDel="00000000" w:rsidR="00000000" w:rsidRPr="00000000">
              <w:rPr>
                <w:color w:val="000000"/>
                <w:sz w:val="16"/>
                <w:szCs w:val="16"/>
                <w:rtl w:val="0"/>
              </w:rPr>
              <w:t xml:space="preserve">http://www.fas.gov.ru/</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7"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467" w:right="120" w:firstLine="0"/>
              <w:jc w:val="both"/>
              <w:rPr>
                <w:color w:val="000000"/>
                <w:sz w:val="16"/>
                <w:szCs w:val="1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C">
            <w:pPr>
              <w:pStyle w:val="Heading2"/>
              <w:spacing w:before="119" w:line="276" w:lineRule="auto"/>
              <w:ind w:left="3840" w:right="3834" w:firstLine="0"/>
              <w:jc w:val="center"/>
              <w:rPr/>
            </w:pPr>
            <w:bookmarkStart w:colFirst="0" w:colLast="0" w:name="_heading=h.yvthilkiz7e6" w:id="2"/>
            <w:bookmarkEnd w:id="2"/>
            <w:r w:rsidDel="00000000" w:rsidR="00000000" w:rsidRPr="00000000">
              <w:rPr>
                <w:rtl w:val="0"/>
              </w:rPr>
              <w:t xml:space="preserve">Policy-Making Agents</w:t>
            </w:r>
          </w:p>
          <w:p w:rsidR="00000000" w:rsidDel="00000000" w:rsidP="00000000" w:rsidRDefault="00000000" w:rsidRPr="00000000" w14:paraId="0000003D">
            <w:pPr>
              <w:pStyle w:val="Heading2"/>
              <w:spacing w:before="119" w:line="276" w:lineRule="auto"/>
              <w:ind w:left="3059" w:right="3050" w:firstLine="0"/>
              <w:jc w:val="center"/>
              <w:rPr/>
            </w:pPr>
            <w:bookmarkStart w:colFirst="0" w:colLast="0" w:name="_heading=h.vespm8te9ut7" w:id="3"/>
            <w:bookmarkEnd w:id="3"/>
            <w:r w:rsidDel="00000000" w:rsidR="00000000" w:rsidRPr="00000000">
              <w:rPr>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360"/>
              </w:tabs>
              <w:spacing w:before="119" w:line="276" w:lineRule="auto"/>
              <w:ind w:left="107" w:right="400" w:firstLine="0"/>
              <w:jc w:val="both"/>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sz w:val="16"/>
                <w:szCs w:val="16"/>
                <w:rtl w:val="0"/>
              </w:rPr>
              <w:t xml:space="preserve">Russia </w:t>
            </w:r>
            <w:r w:rsidDel="00000000" w:rsidR="00000000" w:rsidRPr="00000000">
              <w:rPr>
                <w:color w:val="000000"/>
                <w:sz w:val="16"/>
                <w:szCs w:val="16"/>
                <w:rtl w:val="0"/>
              </w:rPr>
              <w:t xml:space="preserve">has one authority with a general mandate to enforce competition law infringements: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b w:val="1"/>
                <w:sz w:val="16"/>
                <w:szCs w:val="16"/>
                <w:rtl w:val="0"/>
              </w:rPr>
              <w:t xml:space="preserve">FAS: </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is a federal executive body created by Decree of the President of the Russian Federation No. 314 that enforces compliance with antimonopoly legislation (the primary piece of antimonopoly legislation is Federal Law No. 135-FZ). FAS is subordinate to the Government of the Russian Federation. FAS’s structure is governed by </w:t>
            </w:r>
            <w:r w:rsidDel="00000000" w:rsidR="00000000" w:rsidRPr="00000000">
              <w:rPr>
                <w:color w:val="000000"/>
                <w:sz w:val="16"/>
                <w:szCs w:val="16"/>
                <w:rtl w:val="0"/>
              </w:rPr>
              <w:t xml:space="preserve">Decree</w:t>
            </w:r>
            <w:r w:rsidDel="00000000" w:rsidR="00000000" w:rsidRPr="00000000">
              <w:rPr>
                <w:color w:val="000000"/>
                <w:sz w:val="16"/>
                <w:szCs w:val="16"/>
                <w:rtl w:val="0"/>
              </w:rPr>
              <w:t xml:space="preserve"> of the Government of the Russian Federation June 30, 2004 N. 331 “Position on the Federal Antimonopoly Service.”. FAS adopts regulatory legal acts and monitors compliance with antimonopoly legislation and legislation controlling advertising, foreign investments in certain business entities, state aid granting, and trade. FAS acts in accordance with the Constitution of the Russian Federation, federal laws, acts of the President and the Government, international treaties of the Russian Federation, and Regulations.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19" w:line="276" w:lineRule="auto"/>
              <w:ind w:left="107" w:right="86" w:firstLine="0"/>
              <w:jc w:val="both"/>
              <w:rPr>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left="107" w:right="86"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19" w:line="276" w:lineRule="auto"/>
              <w:ind w:left="467" w:right="86" w:firstLine="0"/>
              <w:jc w:val="both"/>
              <w:rPr>
                <w:color w:val="000000"/>
                <w:sz w:val="16"/>
                <w:szCs w:val="1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19" w:line="276" w:lineRule="auto"/>
              <w:ind w:right="400"/>
              <w:jc w:val="both"/>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19" w:line="276" w:lineRule="auto"/>
              <w:ind w:left="135" w:right="86" w:firstLine="0"/>
              <w:jc w:val="both"/>
              <w:rPr>
                <w:color w:val="000000"/>
                <w:sz w:val="16"/>
                <w:szCs w:val="16"/>
              </w:rPr>
            </w:pPr>
            <w:r w:rsidDel="00000000" w:rsidR="00000000" w:rsidRPr="00000000">
              <w:rPr>
                <w:color w:val="000000"/>
                <w:sz w:val="16"/>
                <w:szCs w:val="16"/>
                <w:rtl w:val="0"/>
              </w:rPr>
              <w:t xml:space="preserve">No.</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19" w:line="276" w:lineRule="auto"/>
              <w:ind w:left="135" w:right="86" w:firstLine="0"/>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19" w:line="276" w:lineRule="auto"/>
              <w:ind w:left="107" w:right="400" w:firstLine="0"/>
              <w:jc w:val="both"/>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9" w:line="276" w:lineRule="auto"/>
              <w:ind w:right="86"/>
              <w:jc w:val="both"/>
              <w:rPr>
                <w:color w:val="000000"/>
                <w:sz w:val="16"/>
                <w:szCs w:val="16"/>
              </w:rPr>
            </w:pPr>
            <w:r w:rsidDel="00000000" w:rsidR="00000000" w:rsidRPr="00000000">
              <w:rPr>
                <w:sz w:val="16"/>
                <w:szCs w:val="16"/>
                <w:rtl w:val="0"/>
              </w:rPr>
              <w:t xml:space="preserve">   </w:t>
            </w:r>
            <w:r w:rsidDel="00000000" w:rsidR="00000000" w:rsidRPr="00000000">
              <w:rPr>
                <w:color w:val="000000"/>
                <w:sz w:val="16"/>
                <w:szCs w:val="16"/>
                <w:rtl w:val="0"/>
              </w:rPr>
              <w:t xml:space="preserve">No</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9" w:line="276" w:lineRule="auto"/>
              <w:ind w:left="135" w:right="86"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here any provision or interinstitutional agreement that allows the competition authorities to coordinate behavior to effectively enforce competition law]</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19" w:line="276" w:lineRule="auto"/>
              <w:ind w:right="345"/>
              <w:jc w:val="both"/>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7">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left="105" w:right="145"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19" w:line="276" w:lineRule="auto"/>
              <w:ind w:left="105" w:right="145" w:firstLine="0"/>
              <w:jc w:val="both"/>
              <w:rPr>
                <w:i w:val="1"/>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19" w:line="276" w:lineRule="auto"/>
              <w:ind w:right="345"/>
              <w:jc w:val="both"/>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94">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19" w:line="276" w:lineRule="auto"/>
              <w:ind w:left="105" w:right="145"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19" w:line="276" w:lineRule="auto"/>
              <w:ind w:left="105" w:right="145" w:firstLine="0"/>
              <w:jc w:val="both"/>
              <w:rPr>
                <w:b w:val="1"/>
                <w:i w:val="1"/>
                <w:smallCaps w:val="1"/>
                <w:color w:val="000000"/>
                <w:sz w:val="16"/>
                <w:szCs w:val="16"/>
              </w:rPr>
            </w:pPr>
            <w:r w:rsidDel="00000000" w:rsidR="00000000" w:rsidRPr="00000000">
              <w:rPr>
                <w:i w:val="1"/>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19" w:line="276" w:lineRule="auto"/>
              <w:ind w:right="345"/>
              <w:jc w:val="both"/>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A1">
            <w:pPr>
              <w:spacing w:line="276" w:lineRule="auto"/>
              <w:jc w:val="center"/>
              <w:rPr>
                <w:sz w:val="16"/>
                <w:szCs w:val="16"/>
              </w:rPr>
            </w:pPr>
            <w:r w:rsidDel="00000000" w:rsidR="00000000" w:rsidRPr="00000000">
              <w:rPr>
                <w:sz w:val="16"/>
                <w:szCs w:val="16"/>
                <w:rtl w:val="0"/>
              </w:rPr>
              <w:t xml:space="preserve">Yes </w:t>
            </w:r>
          </w:p>
        </w:tc>
        <w:tc>
          <w:tcPr>
            <w:gridSpan w:val="4"/>
            <w:shd w:fill="auto"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19" w:line="276" w:lineRule="auto"/>
              <w:ind w:left="105" w:right="145" w:firstLine="0"/>
              <w:jc w:val="both"/>
              <w:rPr>
                <w:color w:val="000000"/>
                <w:sz w:val="16"/>
                <w:szCs w:val="16"/>
              </w:rPr>
            </w:pPr>
            <w:r w:rsidDel="00000000" w:rsidR="00000000" w:rsidRPr="00000000">
              <w:rPr>
                <w:color w:val="000000"/>
                <w:sz w:val="16"/>
                <w:szCs w:val="16"/>
                <w:rtl w:val="0"/>
              </w:rPr>
              <w:t xml:space="preserve">People whose rights and interests have been violated may bring a private antitrust action (Article 37, Part 3 of Federal Law No. 135-FZ "On Protection of </w:t>
            </w:r>
            <w:r w:rsidDel="00000000" w:rsidR="00000000" w:rsidRPr="00000000">
              <w:rPr>
                <w:color w:val="000000"/>
                <w:sz w:val="16"/>
                <w:szCs w:val="16"/>
                <w:rtl w:val="0"/>
              </w:rPr>
              <w:t xml:space="preserve">Competition</w:t>
            </w:r>
            <w:r w:rsidDel="00000000" w:rsidR="00000000" w:rsidRPr="00000000">
              <w:rPr>
                <w:color w:val="000000"/>
                <w:sz w:val="16"/>
                <w:szCs w:val="16"/>
                <w:rtl w:val="0"/>
              </w:rPr>
              <w:t xml:space="preserve">"). A claim must be brought within 3 years from the date when the antimonopoly legislation was breached (Article 41, Part 1 of Federal Law No. 135-FZ). Chapter 28.2 of the Arbitration Procedure Code allows for class actions lawsuits. Class action lawsuits in arbitration court require at least 5 co-claimants (see Chapter 28.2 of the Arbitration Procedure Code) and 20 co-claimants in courts of general jurisdiction (see Chapter 22.3 of the Civil Procedure Code).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19" w:line="276" w:lineRule="auto"/>
              <w:ind w:left="105" w:right="14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19" w:line="276" w:lineRule="auto"/>
              <w:ind w:left="105" w:right="145" w:firstLine="0"/>
              <w:jc w:val="both"/>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19" w:line="276" w:lineRule="auto"/>
              <w:ind w:left="107" w:right="175" w:firstLine="0"/>
              <w:jc w:val="both"/>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19" w:line="276" w:lineRule="auto"/>
              <w:ind w:left="3059" w:right="3050" w:firstLine="0"/>
              <w:jc w:val="center"/>
              <w:rPr>
                <w:color w:val="000000"/>
                <w:sz w:val="16"/>
                <w:szCs w:val="16"/>
              </w:rPr>
            </w:pPr>
            <w:r w:rsidDel="00000000" w:rsidR="00000000" w:rsidRPr="00000000">
              <w:rPr>
                <w:b w:val="1"/>
                <w:smallCaps w:val="1"/>
                <w:color w:val="000000"/>
                <w:sz w:val="20"/>
                <w:szCs w:val="20"/>
                <w:rtl w:val="0"/>
              </w:rPr>
              <w:t xml:space="preserve">Federal Antimonopoly Service</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(FAS)</w:t>
            </w:r>
          </w:p>
        </w:tc>
      </w:tr>
      <w:tr>
        <w:trPr>
          <w:cantSplit w:val="0"/>
          <w:trHeight w:val="465" w:hRule="atLeast"/>
          <w:tblHeader w:val="0"/>
        </w:trPr>
        <w:tc>
          <w:tcPr>
            <w:gridSpan w:val="12"/>
            <w:shd w:fill="b9a989" w:val="clear"/>
          </w:tcPr>
          <w:p w:rsidR="00000000" w:rsidDel="00000000" w:rsidP="00000000" w:rsidRDefault="00000000" w:rsidRPr="00000000" w14:paraId="000000C3">
            <w:pPr>
              <w:pStyle w:val="Heading2"/>
              <w:spacing w:before="119" w:line="276" w:lineRule="auto"/>
              <w:ind w:left="3059" w:right="3050" w:firstLine="0"/>
              <w:jc w:val="center"/>
              <w:rPr/>
            </w:pPr>
            <w:bookmarkStart w:colFirst="0" w:colLast="0" w:name="_heading=h.u5uzipbwf7v5" w:id="4"/>
            <w:bookmarkEnd w:id="4"/>
            <w:r w:rsidDel="00000000" w:rsidR="00000000" w:rsidRPr="00000000">
              <w:rPr>
                <w:rtl w:val="0"/>
              </w:rPr>
              <w:t xml:space="preserve">Status of the Competition Authority </w:t>
            </w:r>
          </w:p>
        </w:tc>
      </w:tr>
      <w:tr>
        <w:trPr>
          <w:cantSplit w:val="0"/>
          <w:trHeight w:val="179" w:hRule="atLeast"/>
          <w:tblHeader w:val="0"/>
        </w:trPr>
        <w:tc>
          <w:tcPr>
            <w:gridSpan w:val="2"/>
            <w:shd w:fill="d2c7b4"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ind w:right="-6"/>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right="-9"/>
              <w:jc w:val="center"/>
              <w:rPr>
                <w:color w:val="000000"/>
                <w:sz w:val="16"/>
                <w:szCs w:val="16"/>
              </w:rPr>
            </w:pPr>
            <w:sdt>
              <w:sdtPr>
                <w:tag w:val="goog_rdk_1"/>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Article 23 of Federal Law No. 135-FZ.</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2"/>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Article 23 of Federal Law No. 135-FZ.</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color w:val="000000"/>
                <w:sz w:val="16"/>
                <w:szCs w:val="16"/>
                <w:rtl w:val="0"/>
              </w:rPr>
              <w:t xml:space="preserve">Obligation to stand before parliament and to respond to congressmen on an annual </w:t>
            </w:r>
            <w:r w:rsidDel="00000000" w:rsidR="00000000" w:rsidRPr="00000000">
              <w:rPr>
                <w:color w:val="000000"/>
                <w:sz w:val="16"/>
                <w:szCs w:val="16"/>
                <w:rtl w:val="0"/>
              </w:rPr>
              <w:t xml:space="preserve">basis</w:t>
            </w:r>
            <w:r w:rsidDel="00000000" w:rsidR="00000000" w:rsidRPr="00000000">
              <w:rPr>
                <w:color w:val="000000"/>
                <w:sz w:val="16"/>
                <w:szCs w:val="16"/>
                <w:rtl w:val="0"/>
              </w:rPr>
              <w:t xml:space="preserve">.</w:t>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3"/>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ind w:left="0" w:right="90" w:firstLine="0"/>
              <w:jc w:val="both"/>
              <w:rPr>
                <w:color w:val="000000"/>
                <w:sz w:val="16"/>
                <w:szCs w:val="16"/>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Decisions and orders of FAS may be appealed to an arbitration court within 3 months of when the decision/order was issued. If the arbitration court accepts the case for review, the decision/order is suspended until the arbitration court has issued a decision.</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Article 52 </w:t>
            </w:r>
            <w:r w:rsidDel="00000000" w:rsidR="00000000" w:rsidRPr="00000000">
              <w:rPr>
                <w:color w:val="000000"/>
                <w:sz w:val="16"/>
                <w:szCs w:val="16"/>
                <w:rtl w:val="0"/>
              </w:rPr>
              <w:t xml:space="preserve">of</w:t>
            </w:r>
            <w:r w:rsidDel="00000000" w:rsidR="00000000" w:rsidRPr="00000000">
              <w:rPr>
                <w:color w:val="000000"/>
                <w:sz w:val="16"/>
                <w:szCs w:val="16"/>
                <w:rtl w:val="0"/>
              </w:rPr>
              <w:t xml:space="preserve"> Federal Law No. 135-FZ. The final court of review is the Supreme Court.</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422"/>
              </w:tabs>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422"/>
              </w:tabs>
              <w:spacing w:line="276" w:lineRule="auto"/>
              <w:ind w:left="90"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ind w:left="108" w:right="120" w:firstLine="0"/>
              <w:jc w:val="both"/>
              <w:rPr>
                <w:b w:val="1"/>
                <w:sz w:val="16"/>
                <w:szCs w:val="16"/>
              </w:rPr>
            </w:pPr>
            <w:r w:rsidDel="00000000" w:rsidR="00000000" w:rsidRPr="00000000">
              <w:rPr>
                <w:b w:val="1"/>
                <w:color w:val="000000"/>
                <w:sz w:val="16"/>
                <w:szCs w:val="16"/>
                <w:rtl w:val="0"/>
              </w:rPr>
              <w:t xml:space="preserve">Other obligations/comments:</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ind w:left="108" w:right="120" w:firstLine="0"/>
              <w:jc w:val="both"/>
              <w:rPr>
                <w:b w:val="1"/>
                <w:sz w:val="16"/>
                <w:szCs w:val="16"/>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180" w:hRule="atLeast"/>
          <w:tblHeader w:val="0"/>
        </w:trPr>
        <w:tc>
          <w:tcPr>
            <w:gridSpan w:val="2"/>
            <w:shd w:fill="d2c7b4" w:val="clea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Decree of the Government of the Russian Federation June 30, 2004 N. 331.</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1" w:line="276" w:lineRule="auto"/>
              <w:ind w:left="135" w:right="100" w:firstLine="0"/>
              <w:jc w:val="both"/>
              <w:rPr>
                <w:color w:val="000000"/>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A copy of the commission’s decision or order must be given to the parties. The parties may apply to the commission, or the commission itself may decide to issue an explanation of the decision </w:t>
            </w:r>
            <w:r w:rsidDel="00000000" w:rsidR="00000000" w:rsidRPr="00000000">
              <w:rPr>
                <w:color w:val="000000"/>
                <w:sz w:val="16"/>
                <w:szCs w:val="16"/>
                <w:rtl w:val="0"/>
              </w:rPr>
              <w:t xml:space="preserve">or</w:t>
            </w:r>
            <w:r w:rsidDel="00000000" w:rsidR="00000000" w:rsidRPr="00000000">
              <w:rPr>
                <w:color w:val="000000"/>
                <w:sz w:val="16"/>
                <w:szCs w:val="16"/>
                <w:rtl w:val="0"/>
              </w:rPr>
              <w:t xml:space="preserve"> order. Articles  49, 50, 51.1 of Federal Law No. 135-FZ.</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  </w:t>
            </w:r>
          </w:p>
        </w:tc>
      </w:tr>
      <w:tr>
        <w:trPr>
          <w:cantSplit w:val="0"/>
          <w:trHeight w:val="539" w:hRule="atLeast"/>
          <w:tblHeader w:val="0"/>
        </w:trPr>
        <w:tc>
          <w:tcPr>
            <w:gridSpan w:val="2"/>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The Chairman of FAS approves staffing and salaries dependent on the appropriations provided for in the federal budget and submits a proposal for FAS’s budget to the Ministry of Finance. Decree of the Government of the Russian Federation June 30, 2004 N. 331</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 w:line="276" w:lineRule="auto"/>
              <w:ind w:left="107" w:right="100" w:firstLine="0"/>
              <w:jc w:val="both"/>
              <w:rPr>
                <w:color w:val="000000"/>
                <w:sz w:val="16"/>
                <w:szCs w:val="16"/>
              </w:rPr>
            </w:pPr>
            <w:r w:rsidDel="00000000" w:rsidR="00000000" w:rsidRPr="00000000">
              <w:rPr>
                <w:color w:val="000000"/>
                <w:sz w:val="16"/>
                <w:szCs w:val="16"/>
                <w:rtl w:val="0"/>
              </w:rPr>
              <w:t xml:space="preserve">Single chairman.</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 w:line="276" w:lineRule="auto"/>
              <w:ind w:left="107" w:right="100" w:firstLine="0"/>
              <w:jc w:val="both"/>
              <w:rPr>
                <w:color w:val="000000"/>
                <w:sz w:val="16"/>
                <w:szCs w:val="16"/>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 w:line="276" w:lineRule="auto"/>
              <w:ind w:left="107" w:right="10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1" w:line="276" w:lineRule="auto"/>
              <w:ind w:left="107" w:right="100" w:firstLine="0"/>
              <w:jc w:val="both"/>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The Prime Minister appoints the Chairman and deputy heads.</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ind w:left="108" w:right="100" w:firstLine="0"/>
              <w:jc w:val="both"/>
              <w:rPr>
                <w:i w:val="1"/>
                <w:color w:val="000000"/>
                <w:sz w:val="16"/>
                <w:szCs w:val="16"/>
              </w:rPr>
            </w:pP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108" w:right="10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right="10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ind w:left="90" w:right="100" w:firstLine="0"/>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right="10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color w:val="000000"/>
                <w:sz w:val="16"/>
                <w:szCs w:val="16"/>
                <w:rtl w:val="0"/>
              </w:rPr>
              <w:t xml:space="preserve">There is no reappointment limit.</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ind w:left="90"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r w:rsidDel="00000000" w:rsidR="00000000" w:rsidRPr="00000000">
              <w:rPr>
                <w:sz w:val="16"/>
                <w:szCs w:val="16"/>
                <w:rtl w:val="0"/>
              </w:rPr>
              <w:t xml:space="preserve"> </w:t>
            </w: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ind w:right="10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color w:val="000000"/>
                <w:sz w:val="16"/>
                <w:szCs w:val="16"/>
                <w:rtl w:val="0"/>
              </w:rPr>
              <w:t xml:space="preserve">General qualifications for public civil servants are described in Federal Law No. 79-FZ “About the Public Civil Service of Russian Federation.”</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6" w:lineRule="auto"/>
              <w:ind w:left="90" w:right="100" w:firstLine="0"/>
              <w:jc w:val="both"/>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6" w:lineRule="auto"/>
              <w:ind w:left="90" w:right="100"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ind w:left="107" w:right="63" w:firstLine="0"/>
              <w:jc w:val="both"/>
              <w:rPr>
                <w:sz w:val="16"/>
                <w:szCs w:val="16"/>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ind w:left="107" w:right="63" w:firstLine="0"/>
              <w:jc w:val="both"/>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ind w:left="107" w:right="63" w:firstLine="0"/>
              <w:jc w:val="both"/>
              <w:rPr>
                <w:sz w:val="16"/>
                <w:szCs w:val="16"/>
              </w:rPr>
            </w:pPr>
            <w:r w:rsidDel="00000000" w:rsidR="00000000" w:rsidRPr="00000000">
              <w:rPr>
                <w:rtl w:val="0"/>
              </w:rPr>
            </w:r>
          </w:p>
        </w:tc>
        <w:tc>
          <w:tcPr>
            <w:gridSpan w:val="4"/>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before="1" w:line="276" w:lineRule="auto"/>
              <w:ind w:left="107" w:right="117" w:firstLine="0"/>
              <w:jc w:val="center"/>
              <w:rPr>
                <w:sz w:val="16"/>
                <w:szCs w:val="16"/>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Stand-alone</w:t>
            </w:r>
          </w:p>
        </w:tc>
        <w:tc>
          <w:tcPr>
            <w:gridSpan w:val="6"/>
          </w:tcPr>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902"/>
              </w:tabs>
              <w:spacing w:line="276" w:lineRule="auto"/>
              <w:ind w:left="108" w:right="120" w:firstLine="0"/>
              <w:jc w:val="both"/>
              <w:rPr>
                <w:sz w:val="16"/>
                <w:szCs w:val="16"/>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902"/>
              </w:tabs>
              <w:spacing w:line="276" w:lineRule="auto"/>
              <w:ind w:left="108"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902"/>
              </w:tabs>
              <w:spacing w:line="276" w:lineRule="auto"/>
              <w:ind w:left="108" w:right="12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ind w:left="107" w:right="190" w:firstLine="0"/>
              <w:jc w:val="both"/>
              <w:rPr>
                <w:sz w:val="16"/>
                <w:szCs w:val="16"/>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an exclusive mandate on competition or multiple </w:t>
            </w:r>
            <w:r w:rsidDel="00000000" w:rsidR="00000000" w:rsidRPr="00000000">
              <w:rPr>
                <w:color w:val="000000"/>
                <w:sz w:val="16"/>
                <w:szCs w:val="16"/>
                <w:rtl w:val="0"/>
              </w:rPr>
              <w:t xml:space="preserve">mandates</w:t>
            </w:r>
            <w:r w:rsidDel="00000000" w:rsidR="00000000" w:rsidRPr="00000000">
              <w:rPr>
                <w:color w:val="000000"/>
                <w:sz w:val="16"/>
                <w:szCs w:val="16"/>
                <w:rtl w:val="0"/>
              </w:rPr>
              <w:t xml:space="preserve">?</w:t>
            </w:r>
          </w:p>
        </w:tc>
        <w:tc>
          <w:tcPr>
            <w:gridSpan w:val="6"/>
            <w:vMerge w:val="restart"/>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6" w:lineRule="auto"/>
              <w:ind w:left="106" w:firstLine="0"/>
              <w:jc w:val="center"/>
              <w:rPr>
                <w:sz w:val="16"/>
                <w:szCs w:val="16"/>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76" w:lineRule="auto"/>
              <w:ind w:left="106" w:firstLine="0"/>
              <w:jc w:val="center"/>
              <w:rPr>
                <w:color w:val="000000"/>
                <w:sz w:val="16"/>
                <w:szCs w:val="16"/>
              </w:rPr>
            </w:pPr>
            <w:r w:rsidDel="00000000" w:rsidR="00000000" w:rsidRPr="00000000">
              <w:rPr>
                <w:color w:val="000000"/>
                <w:sz w:val="16"/>
                <w:szCs w:val="16"/>
                <w:rtl w:val="0"/>
              </w:rPr>
              <w:t xml:space="preserve">Exclusive</w:t>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3"/>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before="1" w:line="276" w:lineRule="auto"/>
              <w:ind w:left="107" w:firstLine="0"/>
              <w:jc w:val="both"/>
              <w:rPr>
                <w:b w:val="1"/>
                <w:sz w:val="16"/>
                <w:szCs w:val="16"/>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 FAS enforces tariff legislation.</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before="1" w:line="276" w:lineRule="auto"/>
              <w:ind w:left="107"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FAS has broad powers to investigate cartels (the prohibition against cartels is outlined in Article 11 of Federal Law No. 135-FZ and the authority of FAS to investigate violations is outlined in Articles 22 and 23 of Federal Law No. 135-FZ). FAS can issue orders and impose fines (see Federal Law No. 135-FZ and Code of Administrative Offences of the Russian Federation). Cartel fines range from 3%-15% of the entity’s annual proceeds from the sale of goods or services on the relevant market where the violation was committed, but no less than RUB100,000 ($1,090 USD) (see Article 14.32 of the Code of Administrative Offences). The Ministry of Interior Affairs can find criminal liability (</w:t>
            </w:r>
            <w:r w:rsidDel="00000000" w:rsidR="00000000" w:rsidRPr="00000000">
              <w:rPr>
                <w:color w:val="000000"/>
                <w:sz w:val="16"/>
                <w:szCs w:val="16"/>
                <w:rtl w:val="0"/>
              </w:rPr>
              <w:t xml:space="preserve">Article</w:t>
            </w:r>
            <w:r w:rsidDel="00000000" w:rsidR="00000000" w:rsidRPr="00000000">
              <w:rPr>
                <w:color w:val="000000"/>
                <w:sz w:val="16"/>
                <w:szCs w:val="16"/>
                <w:rtl w:val="0"/>
              </w:rPr>
              <w:t xml:space="preserve"> 178 of the Criminal Code of the Russian Federation).</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FAS has the power to investigate unilateral </w:t>
            </w:r>
            <w:r w:rsidDel="00000000" w:rsidR="00000000" w:rsidRPr="00000000">
              <w:rPr>
                <w:color w:val="000000"/>
                <w:sz w:val="16"/>
                <w:szCs w:val="16"/>
                <w:rtl w:val="0"/>
              </w:rPr>
              <w:t xml:space="preserve">conduct</w:t>
            </w:r>
            <w:r w:rsidDel="00000000" w:rsidR="00000000" w:rsidRPr="00000000">
              <w:rPr>
                <w:color w:val="000000"/>
                <w:sz w:val="16"/>
                <w:szCs w:val="16"/>
                <w:rtl w:val="0"/>
              </w:rPr>
              <w:t xml:space="preserve"> (dominant market positions are discussed in Article 5 of Federal Law No. 135-FZ). Administrative fines for unilateral conduct (abuse of a dominant market position) is RUB300,000 to RUB1,000,000 ($3,270 USD to $10,900 USD). Article 38 of Federal Law No. 135-FZ states that in the case of systematic implementation of monopolistic activity, FAS may file suit for compulsory division of the organization.</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FAS has authority to regulate mergers (see Chapter 7 of Federal Law No. 135-FZ). In 2021, FAS published merger control guidelines (Guidelines No. 19 “On the Specifics of State Antimonopoly Control over Economic Concentration”) that clarify the procedure and requirements for merger review. Transactions that qualify as “triggering events” or meet certain thresholds require FAS approval. The transacting parties are required to file a notification with FAS. 30 days after the filing, FAS can issue an approval, extend the review period for additional analysis, postpone review until foreign investment review is completed if applicable, or refuse </w:t>
            </w:r>
            <w:r w:rsidDel="00000000" w:rsidR="00000000" w:rsidRPr="00000000">
              <w:rPr>
                <w:color w:val="000000"/>
                <w:sz w:val="16"/>
                <w:szCs w:val="16"/>
                <w:rtl w:val="0"/>
              </w:rPr>
              <w:t xml:space="preserve">approval</w:t>
            </w:r>
            <w:r w:rsidDel="00000000" w:rsidR="00000000" w:rsidRPr="00000000">
              <w:rPr>
                <w:color w:val="000000"/>
                <w:sz w:val="16"/>
                <w:szCs w:val="16"/>
                <w:rtl w:val="0"/>
              </w:rPr>
              <w:t xml:space="preserve">. Article 33 of Federal Law No. 135-FZ provides that FAS may impose conditions that must be met for the transaction to proceed. These conditions could include a procedure for access to the production facilities, infrastructure, or information belonging to the acquirer or other involved parties; procedures for granting the acquirer's and other involved parties' industrial intellectual property rights to other persons; requirements to transfer certain property or assign rights and/or liabilities to a third-party; requirements to change the composition of the group to which the acquirer and other involved parties belong.</w:t>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FAS requires notification when transactions </w:t>
            </w:r>
            <w:r w:rsidDel="00000000" w:rsidR="00000000" w:rsidRPr="00000000">
              <w:rPr>
                <w:color w:val="000000"/>
                <w:sz w:val="16"/>
                <w:szCs w:val="16"/>
                <w:rtl w:val="0"/>
              </w:rPr>
              <w:t xml:space="preserve">involve</w:t>
            </w:r>
            <w:r w:rsidDel="00000000" w:rsidR="00000000" w:rsidRPr="00000000">
              <w:rPr>
                <w:color w:val="000000"/>
                <w:sz w:val="16"/>
                <w:szCs w:val="16"/>
                <w:rtl w:val="0"/>
              </w:rPr>
              <w:t xml:space="preserve"> certain triggering events or certain thresholds:</w:t>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Triggering events include acquisition of: more than 25%, 50%, or 75% of voting shares of joint stock company; more than one-third, 50%, or two-thirds of chartered capital of a limited liability company; fixed production assets or intangible assets located in Russia if the book value of the acquired assets exceed certain percentages; rights to determine commercial activities of a Russian company or exercise the functions of its management authority; more than 50% of voting shares and control of a foreign company that supplied goods worth over RUB1 billion ($10,900,000 USD) to Russia in the calendar year preceding the acquisition; finalizing a joint-venture agreement between competitors in relation to joint activities in Russia; establishment of a new company if its charter capital is paid with shares/assets of another company and that capital exceeds the thresholds for acquisition of shares/assets or falls under the change of control criteria described above. Exemptions exist for group companies where one parent company owns more than 50% of shares in another company; companies that are both owned by the same parent company (for more than 50% of the shares); companies that form a group for any other reason, provided that that was publicly disclosed in advance.</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Thresholds are defined as: the aggregate worldwide book value of the assets of undertakings concerned (including their respective groups) exceeds RUB7 billion ($76,300,000 USD); the aggregate worldwide turnover of undertakings concerned (including their respective groups) for the calendar year preceding the year of the acquisition exceeds RUB10 billion ($109,000,000 USD). Acquisitions require prior approval if the worldwide book value of the assets of the target Russian or foreign company (and its respective group) exceeds RUB800 million.</w:t>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Article 34 of Federal Law No. 135-FZ.</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the relevant provisions and add any explanation that you deem necessary]</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C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D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limitation period for invalidation of a transaction is one year from the date FAS knew or should have known of the transaction (Section 6 of Guidelines No. 19).  FAS’s approval of a transaction may be terminated if the conditions of the agreement were not met within a year from the date of the decision (Article 33 of Federal Law No. 135-FZ.)</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FAS may impose fines for failure to obtain FAS’s approval of a transaction or failure to comply with an order. Closing a transaction without approval may result in a fine of RUB 300,00 ($3,262.50 USD) to RUB 500,000 ($5,437.50) (Article 19.8, Part 3 of the Code of Administrative Offences). FAS may also seek invalidation of a transaction if it leads to restriction of competition in the relevant market. (Section 6 of Guidelines No. 19).</w:t>
            </w: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the remedies that the Authority can impose; mention relevant provisions] </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 </w:t>
            </w:r>
          </w:p>
        </w:tc>
      </w:tr>
      <w:tr>
        <w:trPr>
          <w:cantSplit w:val="0"/>
          <w:trHeight w:val="958" w:hRule="atLeast"/>
          <w:tblHeader w:val="0"/>
        </w:trPr>
        <w:tc>
          <w:tcPr>
            <w:gridSpan w:val="3"/>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Article 25 of Federal Law No. 135-</w:t>
            </w:r>
            <w:r w:rsidDel="00000000" w:rsidR="00000000" w:rsidRPr="00000000">
              <w:rPr>
                <w:color w:val="000000"/>
                <w:sz w:val="16"/>
                <w:szCs w:val="16"/>
                <w:rtl w:val="0"/>
              </w:rPr>
              <w:t xml:space="preserve">FZ</w:t>
            </w:r>
            <w:r w:rsidDel="00000000" w:rsidR="00000000" w:rsidRPr="00000000">
              <w:rPr>
                <w:color w:val="000000"/>
                <w:sz w:val="16"/>
                <w:szCs w:val="16"/>
                <w:rtl w:val="0"/>
              </w:rPr>
              <w:t xml:space="preserve">. Court authorization is not required.</w:t>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Article 23 of Federal Law No. 135-FZ allows FAS to initiate legal proceedings and consider cases of violations of antimonopoly legislation.</w:t>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color w:val="000000"/>
                <w:sz w:val="16"/>
                <w:szCs w:val="16"/>
                <w:rtl w:val="0"/>
              </w:rPr>
              <w:t xml:space="preserve">Administrative leniency is available to applicants that voluntarily inform FAS, renounce participation in the agreement or carrying out of coordinated actions, and provides information and documents evidencing violation of </w:t>
            </w:r>
            <w:r w:rsidDel="00000000" w:rsidR="00000000" w:rsidRPr="00000000">
              <w:rPr>
                <w:color w:val="000000"/>
                <w:sz w:val="16"/>
                <w:szCs w:val="16"/>
                <w:rtl w:val="0"/>
              </w:rPr>
              <w:t xml:space="preserve">antimonopoly</w:t>
            </w:r>
            <w:r w:rsidDel="00000000" w:rsidR="00000000" w:rsidRPr="00000000">
              <w:rPr>
                <w:color w:val="000000"/>
                <w:sz w:val="16"/>
                <w:szCs w:val="16"/>
                <w:rtl w:val="0"/>
              </w:rPr>
              <w:t xml:space="preserve"> legislation (Article 14.32 of the Code on Administrative Offences). The conditions to receive administrative leniency are: at the time of the person filing an application, FAS did not already have relevant information and documents about the committed administrative offence; the person refuses to participate or further participate in the agreements or to exercise or further exercise concerted actions; and the information and documents presented are sufficient to establish the administrative violation. The first applicant may receive full immunity. The second and third applicants may receive the minimum administrative fine (See Note 5 of Article 14.32 of the Code of Administrative Offences.) Note 5 specifies that facilitators/organizers of the agreement that violates antimonopoly legislation may not receive leniency. An applicant may file for leniency anytime before FAS issues a decision on the violation (see Section 10.3, Resolution of the Supreme Commercial Court dated 30 June 2008 No. 30 On Certain Issues Arising in Connection with Application of Antitrust Law by Commercial Courts). Applicants may separately apply for criminal leniency if they assist with the investigation, provide compensation for damages, and their actions do not constitute another criminal offense. (Article 178 of the Criminal Code). Only the first applicant is eligible for immunity. Employees of an undertaking that was granted administrative leniency may still be charged criminally, thus an employee seeking to avoid criminal liability must file separately for criminal leniency.</w:t>
            </w: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w:t>
            </w:r>
            <w:r w:rsidDel="00000000" w:rsidR="00000000" w:rsidRPr="00000000">
              <w:rPr>
                <w:sz w:val="16"/>
                <w:szCs w:val="16"/>
                <w:rtl w:val="0"/>
              </w:rPr>
              <w:t xml:space="preserve">to seek</w:t>
            </w:r>
            <w:r w:rsidDel="00000000" w:rsidR="00000000" w:rsidRPr="00000000">
              <w:rPr>
                <w:color w:val="000000"/>
                <w:sz w:val="16"/>
                <w:szCs w:val="16"/>
                <w:rtl w:val="0"/>
              </w:rPr>
              <w:t xml:space="preserve"> criminal punishment?</w:t>
            </w:r>
          </w:p>
        </w:tc>
        <w:tc>
          <w:tcPr>
            <w:gridSpan w:val="6"/>
          </w:tcPr>
          <w:p w:rsidR="00000000" w:rsidDel="00000000" w:rsidP="00000000" w:rsidRDefault="00000000" w:rsidRPr="00000000" w14:paraId="0000031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Ministry of Interior Affairs may seek criminal punishment (see Article 178 of the Criminal Code). </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76" w:lineRule="auto"/>
              <w:ind w:left="90" w:right="135" w:firstLine="0"/>
              <w:jc w:val="both"/>
              <w:rPr>
                <w:i w:val="1"/>
                <w:sz w:val="16"/>
                <w:szCs w:val="16"/>
              </w:rPr>
            </w:pPr>
            <w:r w:rsidDel="00000000" w:rsidR="00000000" w:rsidRPr="00000000">
              <w:rPr>
                <w:i w:val="1"/>
                <w:sz w:val="16"/>
                <w:szCs w:val="16"/>
                <w:rtl w:val="0"/>
              </w:rPr>
              <w:t xml:space="preserve">[If the answer is “yes”, please mention the different kinds of sanctions that the agency can impose] </w:t>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22">
            <w:pPr>
              <w:pBdr>
                <w:top w:space="0" w:sz="0" w:val="nil"/>
                <w:left w:space="0" w:sz="0" w:val="nil"/>
                <w:bottom w:space="0" w:sz="0" w:val="nil"/>
                <w:right w:space="0" w:sz="0" w:val="nil"/>
                <w:between w:space="0" w:sz="0" w:val="nil"/>
              </w:pBdr>
              <w:spacing w:before="1" w:line="276" w:lineRule="auto"/>
              <w:ind w:left="107" w:firstLine="0"/>
              <w:jc w:val="center"/>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line="276" w:lineRule="auto"/>
              <w:ind w:left="107" w:right="135" w:firstLine="0"/>
              <w:jc w:val="both"/>
              <w:rPr>
                <w:sz w:val="16"/>
                <w:szCs w:val="16"/>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color w:val="000000"/>
                <w:sz w:val="16"/>
                <w:szCs w:val="16"/>
                <w:rtl w:val="0"/>
              </w:rPr>
              <w:t xml:space="preserve">FAS develops and submits to the Government of the Russian Federation a draft National Plan for the Development of Competition (Decree of the President No. 618 “On the Main Directions of State Policy for the Development of Competition.”)</w:t>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line="276" w:lineRule="auto"/>
              <w:ind w:left="107" w:right="135" w:firstLine="0"/>
              <w:jc w:val="both"/>
              <w:rPr>
                <w:sz w:val="16"/>
                <w:szCs w:val="16"/>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line="276" w:lineRule="auto"/>
              <w:ind w:left="107" w:right="135" w:firstLine="0"/>
              <w:jc w:val="both"/>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76" w:lineRule="auto"/>
              <w:ind w:left="107" w:right="135" w:firstLine="0"/>
              <w:jc w:val="both"/>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ind w:left="107" w:firstLine="0"/>
              <w:jc w:val="both"/>
              <w:rPr>
                <w:sz w:val="16"/>
                <w:szCs w:val="16"/>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r w:rsidDel="00000000" w:rsidR="00000000" w:rsidRPr="00000000">
              <w:rPr>
                <w:sz w:val="16"/>
                <w:szCs w:val="16"/>
                <w:rtl w:val="0"/>
              </w:rPr>
              <w:t xml:space="preserve"> </w:t>
            </w:r>
            <w:r w:rsidDel="00000000" w:rsidR="00000000" w:rsidRPr="00000000">
              <w:rPr>
                <w:color w:val="000000"/>
                <w:sz w:val="16"/>
                <w:szCs w:val="16"/>
                <w:rtl w:val="0"/>
              </w:rPr>
              <w:t xml:space="preserve">competition?</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76" w:lineRule="auto"/>
              <w:ind w:left="107" w:firstLine="0"/>
              <w:jc w:val="both"/>
              <w:rPr>
                <w:sz w:val="16"/>
                <w:szCs w:val="16"/>
              </w:rPr>
            </w:pPr>
            <w:r w:rsidDel="00000000" w:rsidR="00000000" w:rsidRPr="00000000">
              <w:rPr>
                <w:rtl w:val="0"/>
              </w:rPr>
            </w:r>
          </w:p>
        </w:tc>
        <w:tc>
          <w:tcPr>
            <w:gridSpan w:val="6"/>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76" w:lineRule="auto"/>
              <w:ind w:left="604" w:right="600" w:firstLine="0"/>
              <w:jc w:val="both"/>
              <w:rPr>
                <w:sz w:val="16"/>
                <w:szCs w:val="16"/>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76" w:lineRule="auto"/>
              <w:ind w:left="107" w:right="135" w:firstLine="0"/>
              <w:jc w:val="both"/>
              <w:rPr>
                <w:i w:val="1"/>
                <w:color w:val="000000"/>
                <w:sz w:val="16"/>
                <w:szCs w:val="16"/>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76" w:lineRule="auto"/>
              <w:ind w:left="107" w:right="135" w:firstLine="0"/>
              <w:jc w:val="both"/>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before="1" w:line="276" w:lineRule="auto"/>
              <w:ind w:left="107" w:firstLine="0"/>
              <w:jc w:val="both"/>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5D">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4"/>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5"/>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70">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p w:rsidR="00000000" w:rsidDel="00000000" w:rsidP="00000000" w:rsidRDefault="00000000" w:rsidRPr="00000000" w14:paraId="0000037B">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sdt>
              <w:sdtPr>
                <w:tag w:val="goog_rdk_6"/>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7C">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ind w:left="107" w:right="134" w:firstLine="0"/>
              <w:jc w:val="both"/>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Yes </w:t>
            </w:r>
            <w:r w:rsidDel="00000000" w:rsidR="00000000" w:rsidRPr="00000000">
              <w:rPr>
                <w:rtl w:val="0"/>
              </w:rPr>
            </w:r>
          </w:p>
        </w:tc>
        <w:tc>
          <w:tcPr>
            <w:gridSpan w:val="3"/>
            <w:shd w:fill="auto" w:val="clear"/>
          </w:tcPr>
          <w:p w:rsidR="00000000" w:rsidDel="00000000" w:rsidP="00000000" w:rsidRDefault="00000000" w:rsidRPr="00000000" w14:paraId="00000387">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FAS has authority to enforce antimonopoly legislation (governed by Federal Law No. 135-FZ). Specifically Article 15 of Federal Law No. 135-FZ prevents FAS, among other federal executive bodies and other entities, from acting in a way that prevents, restricts, or eliminates competition.</w:t>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38B">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8E">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39D">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FAS conducts market analysis when considering cases (Chapter 9 of Federal Law No. 135-FZ). FAS also conducts market analysis in drafting the National Plan for the Development of Competition.</w:t>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line="276" w:lineRule="auto"/>
              <w:ind w:left="90" w:right="90"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B2">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FAS’s market analysis included in the draft National Plan for the Development of Competition which is reported to the Government of the </w:t>
            </w:r>
            <w:r w:rsidDel="00000000" w:rsidR="00000000" w:rsidRPr="00000000">
              <w:rPr>
                <w:color w:val="000000"/>
                <w:sz w:val="16"/>
                <w:szCs w:val="16"/>
                <w:rtl w:val="0"/>
              </w:rPr>
              <w:t xml:space="preserve">Russian</w:t>
            </w:r>
            <w:r w:rsidDel="00000000" w:rsidR="00000000" w:rsidRPr="00000000">
              <w:rPr>
                <w:color w:val="000000"/>
                <w:sz w:val="16"/>
                <w:szCs w:val="16"/>
                <w:rtl w:val="0"/>
              </w:rPr>
              <w:t xml:space="preserve"> Federation.</w:t>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76" w:lineRule="auto"/>
              <w:ind w:left="90" w:right="90"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76" w:lineRule="auto"/>
              <w:ind w:left="90" w:right="9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before="1" w:line="276" w:lineRule="auto"/>
              <w:ind w:left="107" w:firstLine="0"/>
              <w:jc w:val="both"/>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D0">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D9">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Chapter 9 of Federal Law No. 135-FZ.</w:t>
            </w:r>
          </w:p>
          <w:p w:rsidR="00000000" w:rsidDel="00000000" w:rsidP="00000000" w:rsidRDefault="00000000" w:rsidRPr="00000000" w14:paraId="000003DB">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Yes, FAS may impose penalties, including fines as regulated by the Code of Administrative Offences, Article 14.32.  Criminal liability is determined by the Ministry of Interior Affairs.</w:t>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F0">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3F3">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Article 40 of Federal Law No. 135-FZ outlines the regulations regarding the commission that considers cases on breaching antimonopoly legislation. If FAS initiates a case investigation, it will issue an order on initiating the </w:t>
            </w:r>
            <w:r w:rsidDel="00000000" w:rsidR="00000000" w:rsidRPr="00000000">
              <w:rPr>
                <w:color w:val="000000"/>
                <w:sz w:val="16"/>
                <w:szCs w:val="16"/>
                <w:rtl w:val="0"/>
              </w:rPr>
              <w:t xml:space="preserve">case and establish the commission. This commission consists of the Chairman (the Head of the Antimonopoly Authority or his Deputy, the Head of the Regional Office of the Antimonopoly Authority or his Deputy) and must be composed of at least three members. If a case involves financial organizations (excluding credit organizations) the respective representatives must be included in the composition of the commission so they constitute at least half its members. Article 43 dictates that parties have the right to familiarize themselves with the materials of the case, put questions to other participants, and advance their case. Article 45 explains that the commission must examine the case within three months of the date of issuing the order to initiate the case. Upon resolving the case, the commission must publish the decision and give a copy to the parties participating in the case. The commission may review the decision in the event that there are new or newly discovered facts (Article 51.2). </w:t>
            </w:r>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76" w:lineRule="auto"/>
              <w:ind w:left="135" w:right="90" w:firstLine="0"/>
              <w:jc w:val="both"/>
              <w:rPr>
                <w:i w:val="1"/>
                <w:sz w:val="16"/>
                <w:szCs w:val="16"/>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3FD">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00">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404">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The commission’s decision or order may be appealed to an arbitration court within three months from the date the decision was adopted or order was issued. If the arbitration court reviews the commission’s decision, the decision </w:t>
            </w:r>
            <w:r w:rsidDel="00000000" w:rsidR="00000000" w:rsidRPr="00000000">
              <w:rPr>
                <w:color w:val="000000"/>
                <w:sz w:val="16"/>
                <w:szCs w:val="16"/>
                <w:rtl w:val="0"/>
              </w:rPr>
              <w:t xml:space="preserve">or</w:t>
            </w:r>
            <w:r w:rsidDel="00000000" w:rsidR="00000000" w:rsidRPr="00000000">
              <w:rPr>
                <w:color w:val="000000"/>
                <w:sz w:val="16"/>
                <w:szCs w:val="16"/>
                <w:rtl w:val="0"/>
              </w:rPr>
              <w:t xml:space="preserve"> order is suspended until the date of entry into legal force of the arbitration court’s decision (Article 53 of Federal Law 135-FZ). The final court of review is the Supreme Court (Arbitration Procedure Code).</w:t>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0E">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11">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tc>
      </w:tr>
    </w:tbl>
    <w:p w:rsidR="00000000" w:rsidDel="00000000" w:rsidP="00000000" w:rsidRDefault="00000000" w:rsidRPr="00000000" w14:paraId="0000041D">
      <w:pPr>
        <w:spacing w:line="276" w:lineRule="auto"/>
        <w:jc w:val="both"/>
        <w:rPr>
          <w:sz w:val="16"/>
          <w:szCs w:val="16"/>
        </w:rPr>
      </w:pPr>
      <w:r w:rsidDel="00000000" w:rsidR="00000000" w:rsidRPr="00000000">
        <w:rPr>
          <w:rtl w:val="0"/>
        </w:rPr>
      </w:r>
    </w:p>
    <w:p w:rsidR="00000000" w:rsidDel="00000000" w:rsidP="00000000" w:rsidRDefault="00000000" w:rsidRPr="00000000" w14:paraId="0000041E">
      <w:pPr>
        <w:spacing w:line="276" w:lineRule="auto"/>
        <w:ind w:left="1610" w:right="1610" w:firstLine="0"/>
        <w:jc w:val="both"/>
        <w:rPr>
          <w:b w:val="1"/>
          <w:sz w:val="30"/>
          <w:szCs w:val="30"/>
        </w:rPr>
      </w:pPr>
      <w:r w:rsidDel="00000000" w:rsidR="00000000" w:rsidRPr="00000000">
        <w:rPr>
          <w:rtl w:val="0"/>
        </w:rPr>
      </w:r>
    </w:p>
    <w:sectPr>
      <w:headerReference r:id="rId7" w:type="default"/>
      <w:footerReference r:id="rId8"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0">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F">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19" w:line="276" w:lineRule="auto"/>
      <w:ind w:left="3057" w:right="3051" w:firstLine="0"/>
      <w:jc w:val="center"/>
    </w:pPr>
    <w:rPr>
      <w:b w:val="1"/>
      <w:sz w:val="24"/>
      <w:szCs w:val="24"/>
    </w:rPr>
  </w:style>
  <w:style w:type="paragraph" w:styleId="Heading2">
    <w:name w:val="heading 2"/>
    <w:basedOn w:val="Normal"/>
    <w:next w:val="Normal"/>
    <w:pPr>
      <w:keepNext w:val="1"/>
      <w:keepLines w:val="1"/>
      <w:spacing w:before="120" w:line="276" w:lineRule="auto"/>
      <w:ind w:left="3059" w:right="3051" w:firstLine="0"/>
      <w:jc w:val="center"/>
    </w:pPr>
    <w:rPr>
      <w:b w:val="1"/>
      <w:smallCaps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0lFuXolEDJQepzQjfuirWkH0cg==">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2023-07-14T19:13:00Z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