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Jamaica</w:t>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7" w:right="165" w:firstLine="0"/>
              <w:rPr>
                <w:color w:val="000000"/>
                <w:sz w:val="16"/>
                <w:szCs w:val="16"/>
              </w:rPr>
            </w:pPr>
            <w:r w:rsidDel="00000000" w:rsidR="00000000" w:rsidRPr="00000000">
              <w:rPr>
                <w:color w:val="000000"/>
                <w:sz w:val="16"/>
                <w:szCs w:val="16"/>
                <w:rtl w:val="0"/>
              </w:rPr>
              <w:t xml:space="preserve">The Fair Competition Act (FCA). The FCA was enacted on March 9, 1993 and came into effect on September 9, 1993.</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name of the laws constituting the National Competition Law Regime. Include the year of enaction and the corresponding amendments as well.]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0" w:firstLine="0"/>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right="165" w:firstLine="0"/>
              <w:rPr>
                <w:color w:val="0000ff"/>
                <w:sz w:val="10"/>
                <w:szCs w:val="10"/>
                <w:u w:val="single"/>
              </w:rPr>
            </w:pPr>
            <w:r w:rsidDel="00000000" w:rsidR="00000000" w:rsidRPr="00000000">
              <w:rPr>
                <w:color w:val="000000"/>
                <w:sz w:val="16"/>
                <w:szCs w:val="16"/>
                <w:rtl w:val="0"/>
              </w:rPr>
              <w:t xml:space="preserve">The Fair Trading Commission (FTC) (</w:t>
            </w:r>
            <w:hyperlink r:id="rId7">
              <w:r w:rsidDel="00000000" w:rsidR="00000000" w:rsidRPr="00000000">
                <w:rPr>
                  <w:color w:val="0000ff"/>
                  <w:sz w:val="16"/>
                  <w:szCs w:val="16"/>
                  <w:u w:val="single"/>
                  <w:rtl w:val="0"/>
                </w:rPr>
                <w:t xml:space="preserve">https://jftc.gov.jm/</w:t>
              </w:r>
            </w:hyperlink>
            <w:r w:rsidDel="00000000" w:rsidR="00000000" w:rsidRPr="00000000">
              <w:rPr>
                <w:color w:val="000000"/>
                <w:sz w:val="16"/>
                <w:szCs w:val="16"/>
                <w:rtl w:val="0"/>
              </w:rPr>
              <w:t xml:space="preserve">) was established by Section 4 of FCA in 1993. The Supreme Court of Jamaica is </w:t>
            </w:r>
            <w:r w:rsidDel="00000000" w:rsidR="00000000" w:rsidRPr="00000000">
              <w:rPr>
                <w:sz w:val="16"/>
                <w:szCs w:val="16"/>
                <w:rtl w:val="0"/>
              </w:rPr>
              <w:t xml:space="preserve">responsible for penalty</w:t>
            </w:r>
            <w:r w:rsidDel="00000000" w:rsidR="00000000" w:rsidRPr="00000000">
              <w:rPr>
                <w:color w:val="000000"/>
                <w:sz w:val="16"/>
                <w:szCs w:val="16"/>
                <w:rtl w:val="0"/>
              </w:rPr>
              <w:t xml:space="preserve"> enforcement under the FCA.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3360"/>
              </w:tabs>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According to the amended Section 5 of the FCA, FTC’s functions include: (1). Carry out, on its own initiative, investigation or inquiries on business in Jamaica to determine whether the FCA is violated; (2). Carry out investigation or inquiries requested by the Minister or other necessary investigation or inquiry with matters failing within the FCA; (3). Advise the Minister on matters relating to the FCA; (4). Investigate or inquire on its own initiative or at the request of any person adversely affected in relation to the abuse of a dominant position by any enterprise; (5). Carry out other duties as may be prescribed by or pursuant to the FCA.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467" w:right="86" w:firstLine="0"/>
              <w:jc w:val="both"/>
              <w:rPr>
                <w:color w:val="000000"/>
                <w:sz w:val="16"/>
                <w:szCs w:val="16"/>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9" w:line="276" w:lineRule="auto"/>
              <w:ind w:right="220"/>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9" w:line="276" w:lineRule="auto"/>
              <w:ind w:right="86"/>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sz w:val="16"/>
                <w:szCs w:val="16"/>
                <w:rtl w:val="0"/>
              </w:rPr>
              <w:t xml:space="preserve">No.</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19" w:line="276" w:lineRule="auto"/>
              <w:ind w:right="86"/>
              <w:jc w:val="both"/>
              <w:rPr>
                <w:i w:val="1"/>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here any provision or interinstitutional agreement that allows the competition authorities to coordinate behavior to effectively enforce competition law</w:t>
            </w:r>
            <w:r w:rsidDel="00000000" w:rsidR="00000000" w:rsidRPr="00000000">
              <w:rPr>
                <w:i w:val="1"/>
                <w:sz w:val="16"/>
                <w:szCs w:val="16"/>
                <w:rtl w:val="0"/>
              </w:rPr>
              <w:t xml:space="preserv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19" w:line="276" w:lineRule="auto"/>
              <w:ind w:right="255"/>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6">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19" w:line="276" w:lineRule="auto"/>
              <w:ind w:right="43"/>
              <w:jc w:val="both"/>
              <w:rPr>
                <w:color w:val="000000"/>
                <w:sz w:val="16"/>
                <w:szCs w:val="16"/>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before="119" w:line="276" w:lineRule="auto"/>
              <w:ind w:right="255"/>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4">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left="135" w:right="44" w:firstLine="0"/>
              <w:jc w:val="both"/>
              <w:rPr>
                <w:color w:val="000000"/>
                <w:sz w:val="16"/>
                <w:szCs w:val="16"/>
              </w:rPr>
            </w:pPr>
            <w:r w:rsidDel="00000000" w:rsidR="00000000" w:rsidRPr="00000000">
              <w:rPr>
                <w:color w:val="000000"/>
                <w:sz w:val="16"/>
                <w:szCs w:val="16"/>
                <w:rtl w:val="0"/>
              </w:rPr>
              <w:t xml:space="preserve">The FCA does not give the FTC any authority to enforce penalties. Instead, the FTC must submit its findings to the Supreme Court for enforcement. Under Section 46, upon satisfaction of the FTC’s application, the Supreme Court is authorized to </w:t>
            </w:r>
            <w:r w:rsidDel="00000000" w:rsidR="00000000" w:rsidRPr="00000000">
              <w:rPr>
                <w:sz w:val="16"/>
                <w:szCs w:val="16"/>
                <w:rtl w:val="0"/>
              </w:rPr>
              <w:t xml:space="preserve">issue a penalty</w:t>
            </w:r>
            <w:r w:rsidDel="00000000" w:rsidR="00000000" w:rsidRPr="00000000">
              <w:rPr>
                <w:color w:val="000000"/>
                <w:sz w:val="16"/>
                <w:szCs w:val="16"/>
                <w:rtl w:val="0"/>
              </w:rPr>
              <w:t xml:space="preserve"> for violation of the FCA and failure to comply with any direction of the FTC. According to Section 47, the Supreme Court may: (1) order the offending person to pay pecuniary penalty not exceeding $1,000,000 (USD $6,490.79) for individual case and pecuniary penalty not exceeding $5,000,000 (USD $32,453.94) for non-individual case; (2) grant injunction restraining the offending person engaging in violation of the FCA.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19" w:line="276" w:lineRule="auto"/>
              <w:ind w:left="107"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before="119" w:line="276" w:lineRule="auto"/>
              <w:ind w:left="107" w:right="44"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119" w:line="276" w:lineRule="auto"/>
              <w:ind w:right="255"/>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2">
            <w:pPr>
              <w:spacing w:line="276" w:lineRule="auto"/>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19" w:line="276" w:lineRule="auto"/>
              <w:ind w:right="44"/>
              <w:jc w:val="both"/>
              <w:rPr>
                <w:color w:val="000000"/>
                <w:sz w:val="16"/>
                <w:szCs w:val="16"/>
              </w:rPr>
            </w:pPr>
            <w:r w:rsidDel="00000000" w:rsidR="00000000" w:rsidRPr="00000000">
              <w:rPr>
                <w:color w:val="000000"/>
                <w:sz w:val="16"/>
                <w:szCs w:val="16"/>
                <w:rtl w:val="0"/>
              </w:rPr>
              <w:t xml:space="preserve">According to Section 48, private cause of action exists for those who suffered from: (1). Violation of the FCA; (2). Aiding, abetting, counselling, or procuring the violation; (3). Inducting by treats, promises, or other contravention; (4). Being knowingly conceived in or party to any such violation; (5). Conspiring with any other person to violation. Private parties can sue within three years from the time when the cause of action arose. </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19" w:line="276" w:lineRule="auto"/>
              <w:ind w:right="44"/>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119" w:line="276" w:lineRule="auto"/>
              <w:ind w:right="44"/>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119" w:line="276" w:lineRule="auto"/>
              <w:ind w:left="107" w:right="310"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The Fair Trading Commission (FTC)</w:t>
            </w:r>
          </w:p>
        </w:tc>
      </w:tr>
      <w:tr>
        <w:trPr>
          <w:cantSplit w:val="0"/>
          <w:trHeight w:val="465" w:hRule="atLeast"/>
          <w:tblHeader w:val="0"/>
        </w:trPr>
        <w:tc>
          <w:tcPr>
            <w:gridSpan w:val="12"/>
            <w:shd w:fill="b9a989"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FCA Section 5(b)  </w:t>
            </w:r>
          </w:p>
        </w:tc>
      </w:tr>
      <w:tr>
        <w:trPr>
          <w:cantSplit w:val="0"/>
          <w:trHeight w:val="360" w:hRule="atLeast"/>
          <w:tblHeader w:val="0"/>
        </w:trPr>
        <w:tc>
          <w:tcPr>
            <w:gridSpan w:val="2"/>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m</w:t>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tc>
      </w:tr>
      <w:tr>
        <w:trPr>
          <w:cantSplit w:val="0"/>
          <w:trHeight w:val="185" w:hRule="atLeast"/>
          <w:tblHeader w:val="0"/>
        </w:trPr>
        <w:tc>
          <w:tcPr>
            <w:gridSpan w:val="2"/>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color w:val="000000"/>
                <w:sz w:val="16"/>
                <w:szCs w:val="16"/>
                <w:rtl w:val="0"/>
              </w:rPr>
              <w:t xml:space="preserve">      </w:t>
            </w:r>
            <w:sdt>
              <w:sdtPr>
                <w:tag w:val="goog_rdk_2"/>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FCA Section 14(1) </w:t>
            </w:r>
          </w:p>
        </w:tc>
      </w:tr>
      <w:tr>
        <w:trPr>
          <w:cantSplit w:val="0"/>
          <w:trHeight w:val="276" w:hRule="atLeast"/>
          <w:tblHeader w:val="0"/>
        </w:trPr>
        <w:tc>
          <w:tcPr>
            <w:gridSpan w:val="2"/>
            <w:vMerge w:val="restart"/>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sdt>
              <w:sdtPr>
                <w:tag w:val="goog_rdk_3"/>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FCA Section 14(3)</w:t>
            </w:r>
          </w:p>
        </w:tc>
      </w:tr>
      <w:tr>
        <w:trPr>
          <w:cantSplit w:val="0"/>
          <w:trHeight w:val="540" w:hRule="atLeast"/>
          <w:tblHeader w:val="0"/>
        </w:trPr>
        <w:tc>
          <w:tcPr>
            <w:gridSpan w:val="2"/>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color w:val="000000"/>
                <w:sz w:val="16"/>
                <w:szCs w:val="16"/>
                <w:rtl w:val="0"/>
              </w:rPr>
              <w:t xml:space="preserve">      </w:t>
            </w: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tc>
      </w:tr>
      <w:tr>
        <w:trPr>
          <w:cantSplit w:val="0"/>
          <w:trHeight w:val="539" w:hRule="atLeast"/>
          <w:tblHeader w:val="0"/>
        </w:trPr>
        <w:tc>
          <w:tcPr>
            <w:gridSpan w:val="2"/>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left="108" w:right="12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tc>
      </w:tr>
      <w:tr>
        <w:trPr>
          <w:cantSplit w:val="0"/>
          <w:trHeight w:val="224" w:hRule="atLeast"/>
          <w:tblHeader w:val="0"/>
        </w:trPr>
        <w:tc>
          <w:tcPr>
            <w:gridSpan w:val="2"/>
            <w:vMerge w:val="restart"/>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t xml:space="preserve">    </w:t>
            </w:r>
            <w:sdt>
              <w:sdtPr>
                <w:tag w:val="goog_rdk_4"/>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FCA Section 46; Supreme Court</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than the judiciary? </w:t>
            </w:r>
          </w:p>
        </w:tc>
        <w:tc>
          <w:tcPr/>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b w:val="1"/>
                <w:color w:val="000000"/>
                <w:sz w:val="16"/>
                <w:szCs w:val="16"/>
                <w:rtl w:val="0"/>
              </w:rPr>
              <w:t xml:space="preserve">Other obligations/comments: </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ind w:right="120"/>
              <w:rPr>
                <w:color w:val="000000"/>
                <w:sz w:val="16"/>
                <w:szCs w:val="16"/>
              </w:rPr>
            </w:pPr>
            <w:r w:rsidDel="00000000" w:rsidR="00000000" w:rsidRPr="00000000">
              <w:rPr>
                <w:rtl w:val="0"/>
              </w:rPr>
            </w:r>
          </w:p>
        </w:tc>
      </w:tr>
      <w:tr>
        <w:trPr>
          <w:cantSplit w:val="0"/>
          <w:trHeight w:val="180" w:hRule="atLeast"/>
          <w:tblHeader w:val="0"/>
        </w:trPr>
        <w:tc>
          <w:tcPr>
            <w:gridSpan w:val="2"/>
            <w:shd w:fill="d2c7b4" w:val="cle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the Fair Competition Schedule (FCS) Section 2, commissioners of the FTC shall be appointed by the Minister in writing. Under the FCS Section 6, the Minister may terminate any member of FTC other than the Executive Director if such member: (1). Becomes unsound minded or permanently unable to perform his functions by reason of ill health; (2). Is convicted and sentenced to imprisonment; (3). Fails to carry out functions conferred or imposed on him under FCA without reasonable excuse; (4). Engages in activities that are reasonably considered prejudicial to the interest of the FTC.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Section 9 of the FCA, the Minister may give directions of a general nature as the Minister considers necessary in the public interest. The FTC must adhere to any public interest directions given by the Minister.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the FCA Section 8, investigation hearings must take place in public, but the FTC may conduct hearing in private if the circumstances warrant. </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According to the FCA Section 12, the FTC’s funds shall consist of: (1). Sums may be appropriated by Parliament; (2). Any other sums which may in any manner become payable to or vested in FTC in respect of any matter incidental to its function. </w:t>
            </w:r>
          </w:p>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line="276" w:lineRule="auto"/>
              <w:ind w:right="113"/>
              <w:rPr>
                <w:color w:val="000000"/>
                <w:sz w:val="16"/>
                <w:szCs w:val="16"/>
              </w:rPr>
            </w:pPr>
            <w:r w:rsidDel="00000000" w:rsidR="00000000" w:rsidRPr="00000000">
              <w:rPr>
                <w:color w:val="000000"/>
                <w:sz w:val="16"/>
                <w:szCs w:val="16"/>
                <w:rtl w:val="0"/>
              </w:rPr>
              <w:t xml:space="preserve">Under the FCA Section 8, the FTC may use funds that become payable to or vested in FTC in respect of any matter incidental to its function. </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right="113"/>
              <w:rPr>
                <w:color w:val="000000"/>
                <w:sz w:val="16"/>
                <w:szCs w:val="16"/>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right="113"/>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76" w:lineRule="auto"/>
              <w:ind w:right="113"/>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Collegiate body. According to the FCS Section 1, the FTC must consist of more than three, but less than five commissioners appointed by the Minister. Under the FCA Section 15, the FTC must appoint one Executive Director. </w:t>
            </w:r>
          </w:p>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1"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Under the FCS Section 1(1), commissioners are appointed by the Minister. The FCS Section 3 states that the chairman of FTC is appointed by the Minister from the commissioners. Under the FCA Section 15, the Executive Director is appointed by FTC, responsible for the day-to-day management of FTC.</w:t>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color w:val="000000"/>
                <w:sz w:val="16"/>
                <w:szCs w:val="16"/>
                <w:rtl w:val="0"/>
              </w:rPr>
              <w:t xml:space="preserve">Under the FCS Section 2(2), chairman and commissioners must hold offices for a period not exceeding three years and are eligible for reappointment. Under the FCA Section 15(1), the Executive Director must hold office for a period of seven years and may be reappointed for a period not exceeding five years.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76" w:lineRule="auto"/>
              <w:ind w:right="131"/>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tc>
      </w:tr>
      <w:tr>
        <w:trPr>
          <w:cantSplit w:val="0"/>
          <w:trHeight w:val="465" w:hRule="atLeast"/>
          <w:tblHeader w:val="0"/>
        </w:trPr>
        <w:tc>
          <w:tcPr>
            <w:gridSpan w:val="12"/>
            <w:shd w:fill="b9a989" w:val="clear"/>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ArchitectureA</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Multiple Mandates </w:t>
            </w:r>
          </w:p>
        </w:tc>
        <w:tc>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5"/>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color w:val="000000"/>
                <w:sz w:val="16"/>
                <w:szCs w:val="16"/>
                <w:rtl w:val="0"/>
              </w:rPr>
              <w:t xml:space="preserve">[Include any other mandates entrusted to the Competition Authority]</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 </w:t>
            </w:r>
          </w:p>
        </w:tc>
      </w:tr>
      <w:tr>
        <w:trPr>
          <w:cantSplit w:val="0"/>
          <w:trHeight w:val="463" w:hRule="atLeast"/>
          <w:tblHeader w:val="0"/>
        </w:trPr>
        <w:tc>
          <w:tcPr>
            <w:gridSpan w:val="12"/>
            <w:shd w:fill="b9a989" w:val="clea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Under the FCA Section 17(2), anticompetitive agreements that substantially lessen competition are defined as agreements that: (1). Directly or indirectly fix purchase or selling prices or any other trading conditions; (2). Limit or control production, markets, technical development, or investment; (3). Share markets or sources of supply; (4). Affect tenders to be submitted in response to a request for bids; (5). Apply dissimilar conditions to equivalent transactions with other trading parties, thereby placing them at a competitive disadvantage; (6). Make the conclusion of contracts subject to acceptance by the other parties of supplementary obligations which, by their nature or according to commercial usage, have no connection with the subject of such contracts. </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According to Section 22(1), it is unlawful for any or more enterprises, being suppliers of goods, to enter into or carry out any agreement by virtue of which they undertake: (1). To withhold supplies of goods from dealers (whether parties to the agreement or not) who resell or have resold goods in breach of any condition as to the price at which those goods may be resold; (2). To refuse to supply goods to such dealers except on terms and conditions which are less favorable than those applicable in the case of other dealers carrying on business in similar circumstances; (3). To supply goods only to persons who undertake or have undertaken to do any of the acts described in paragraphs (1) or (2). According to Section 23(1), it is unlawful for any two or more enterprises, being dealers in any goods, to enter into or carry out any agreement by which they undertake: (1). To withhold orders for supplies of goods from suppliers (whether parties to the agreement or not), who supply or have supplied goods without imposing such a condition as described in Section 22(1)(a) or who refrain or have refrained from taking steps to ensure compliance with such conditions in respect of goods supplied by them or; (2). To discriminate in their handling of goods against goods supplied by those suppliers. Section 22 and 23 both prohibited the suppliers and dealers from recovering penalties by or on behalf of the parties to the agreement or any connected conduct. According to Section 24, Section 22 and 23 apply to associations whose members consist of suppliers or dealers enterprise and representatives of such enterprises. </w:t>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Under the amended Section 34(1), a person engaging in the business of producing or supplying goods shall not, directly, or indirectly: (1). By agreement, threat, promise or any like means, attempt to influence upward or discourage the reduction of, the price at which any other supplies or offers to supply or advertise goods or services; (2). Refuse to supply goods or services or otherwise discriminate against any other person engaged in business; (3). Refuse to supply goods or services to or otherwise discriminate against any other person engaged in business because of the low pricing policy of that other person. According to Section 35(1), no person shall conspire, combine, agree, or arrange with another person to: (1). Limit unduly the facilities for transporting, producing, manufacturing, storing or dealing.  </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According to the FCA Section 20(1), an enterprise abuses a dominant position if it impedes the maintenance or development of effective competition in a market and in particular but without prejudice to the public if: (1). Restrict the entry of any person into that or any other market; (2). Prevents or deters any person from engaging in competitive conduct in that or any other market; (3). Eliminate or removes any person from that or any other market; (4). Directly or indirectly imposes unfair purchase or selling prices or other uncompetitive practices; (5). Limits production of goods or services to the prejudice of consumers; (6). Makes the conclusion of agreements subject to acceptance by parties of supplementary obligations which by their nature, according to commercial usage, have no connection with the subject of such agreement. Under Section 20(2), an enterprise is not abusing a dominant position when: (1) its behavior was exclusively directed to improve the production or distribution of goods or to promoting technical or economic progress and; (2). Consumers were allowed a fair share of the resulting benefit. Enterprise enforces or seeks to enforce copyright, patent, registered design, or trademark is exempt from the FCA. </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According to the FCA Section 25, resale price maintenance (RPM) is </w:t>
            </w:r>
            <w:r w:rsidDel="00000000" w:rsidR="00000000" w:rsidRPr="00000000">
              <w:rPr>
                <w:i w:val="1"/>
                <w:color w:val="000000"/>
                <w:sz w:val="16"/>
                <w:szCs w:val="16"/>
                <w:rtl w:val="0"/>
              </w:rPr>
              <w:t xml:space="preserve">p</w:t>
            </w:r>
            <w:r w:rsidDel="00000000" w:rsidR="00000000" w:rsidRPr="00000000">
              <w:rPr>
                <w:i w:val="1"/>
                <w:sz w:val="16"/>
                <w:szCs w:val="16"/>
                <w:rtl w:val="0"/>
              </w:rPr>
              <w:t xml:space="preserve">er</w:t>
            </w:r>
            <w:r w:rsidDel="00000000" w:rsidR="00000000" w:rsidRPr="00000000">
              <w:rPr>
                <w:i w:val="1"/>
                <w:color w:val="000000"/>
                <w:sz w:val="16"/>
                <w:szCs w:val="16"/>
                <w:rtl w:val="0"/>
              </w:rPr>
              <w:t xml:space="preserve"> se</w:t>
            </w:r>
            <w:r w:rsidDel="00000000" w:rsidR="00000000" w:rsidRPr="00000000">
              <w:rPr>
                <w:color w:val="000000"/>
                <w:sz w:val="16"/>
                <w:szCs w:val="16"/>
                <w:rtl w:val="0"/>
              </w:rPr>
              <w:t xml:space="preserve"> prohibited in Jamaica.  RPM refers to suppliers of goods to: (1). Include an agreement for the sale of goods, a term or condition which is void by Section 25; (2). Require, as a condition of supplying goods to a dealer, the inclusion in the agreement of any term or condition, or the giving of any undertaking to the like effect; (3). Notify dealers, or otherwise publish on or in relation to any goods, a price stated or calculated to be understood as the minimum price stated or calculated to be understood as the minimum price which may be charged on the resale of the goods. Under Section 27, RPM also includes suppliers to withhold supplies of any goods from a dealer seeking to obtain them for resale on the grounds that the dealer: (1) has sold goods obtained either directly or indirectly from that supplier, at a price below the resale price or has supplied such goods either directly or indirectly to a third party who had done so; or (2) is likely, if the goods are supplied by him, to sell them at a price below that price, or supply them either directly or indirectly to a third party who would likely to do so. </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ind w:left="0" w:right="90" w:firstLine="0"/>
              <w:jc w:val="both"/>
              <w:rPr>
                <w:color w:val="000000"/>
                <w:sz w:val="16"/>
                <w:szCs w:val="16"/>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left="13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left="13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tc>
      </w:tr>
      <w:tr>
        <w:trPr>
          <w:cantSplit w:val="0"/>
          <w:trHeight w:val="958" w:hRule="atLeast"/>
          <w:tblHeader w:val="0"/>
        </w:trPr>
        <w:tc>
          <w:tcPr>
            <w:gridSpan w:val="3"/>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A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tc>
      </w:tr>
      <w:tr>
        <w:trPr>
          <w:cantSplit w:val="0"/>
          <w:trHeight w:val="958" w:hRule="atLeast"/>
          <w:tblHeader w:val="0"/>
        </w:trPr>
        <w:tc>
          <w:tcPr>
            <w:gridSpan w:val="3"/>
          </w:tcPr>
          <w:p w:rsidR="00000000" w:rsidDel="00000000" w:rsidP="00000000" w:rsidRDefault="00000000" w:rsidRPr="00000000" w14:paraId="000002A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A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5">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provisions and add any explanation that you deem necessary.]</w:t>
            </w:r>
          </w:p>
        </w:tc>
      </w:tr>
      <w:tr>
        <w:trPr>
          <w:cantSplit w:val="0"/>
          <w:trHeight w:val="958" w:hRule="atLeast"/>
          <w:tblHeader w:val="0"/>
        </w:trPr>
        <w:tc>
          <w:tcPr>
            <w:gridSpan w:val="3"/>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tc>
      </w:tr>
      <w:tr>
        <w:trPr>
          <w:cantSplit w:val="0"/>
          <w:trHeight w:val="958" w:hRule="atLeast"/>
          <w:tblHeader w:val="0"/>
        </w:trPr>
        <w:tc>
          <w:tcPr>
            <w:gridSpan w:val="3"/>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tc>
      </w:tr>
      <w:tr>
        <w:trPr>
          <w:cantSplit w:val="0"/>
          <w:trHeight w:val="958" w:hRule="atLeast"/>
          <w:tblHeader w:val="0"/>
        </w:trPr>
        <w:tc>
          <w:tcPr>
            <w:gridSpan w:val="3"/>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According to the FCA Section 10(1), the FTC may authorize officers to enter and search any premises and inspect, remove, and copy any documents. Under Section 10(2), search and entry must be authorized by a warrant. Section 10(3) states that a warrant can be obtained if there are reasonable grounds for believing that any person has engaged or is engaged in violation of FCA. However, a document shall not detain for more than seven days. </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14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145" w:firstLine="0"/>
              <w:jc w:val="both"/>
              <w:rPr>
                <w:i w:val="1"/>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According to the amended FCA Section 5(a), the FTC has the authority to carry out, on its own initiative, investigation or inquiries in relation to the conduct of business in Jamaica as well as determine whether any enterprise violates the FCA. </w:t>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[Please</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mention the relevant provisions]</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80"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2F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30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45" w:right="90" w:firstLine="0"/>
              <w:jc w:val="both"/>
              <w:rPr>
                <w:sz w:val="16"/>
                <w:szCs w:val="16"/>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According to the amended FCA Section 42, any person who impedes, prevents, or obstructs FTC investigation is guilty of an offence and liable on summary conviction in a Resident Magistrate’s Court to a fine not exceeding $500,000 (USD $3,239) or to imprisonment for a term not exceeding one year or to both such fine and imprisonment. </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  </w:t>
            </w:r>
          </w:p>
        </w:tc>
      </w:tr>
      <w:tr>
        <w:trPr>
          <w:cantSplit w:val="0"/>
          <w:trHeight w:val="179" w:hRule="atLeast"/>
          <w:tblHeader w:val="0"/>
        </w:trPr>
        <w:tc>
          <w:tcPr>
            <w:gridSpan w:val="12"/>
            <w:shd w:fill="d2c7b4" w:val="clear"/>
          </w:tcPr>
          <w:p w:rsidR="00000000" w:rsidDel="00000000" w:rsidP="00000000" w:rsidRDefault="00000000" w:rsidRPr="00000000" w14:paraId="0000030F">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ind w:left="107" w:right="43"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4C">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4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64">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6"/>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2"/>
          </w:tcPr>
          <w:p w:rsidR="00000000" w:rsidDel="00000000" w:rsidP="00000000" w:rsidRDefault="00000000" w:rsidRPr="00000000" w14:paraId="00000365">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the FCA Section 5(2)(b), the FTC’s obligation includes undertaking studies and </w:t>
            </w:r>
            <w:r w:rsidDel="00000000" w:rsidR="00000000" w:rsidRPr="00000000">
              <w:rPr>
                <w:sz w:val="16"/>
                <w:szCs w:val="16"/>
                <w:rtl w:val="0"/>
              </w:rPr>
              <w:t xml:space="preserve">publishing</w:t>
            </w:r>
            <w:r w:rsidDel="00000000" w:rsidR="00000000" w:rsidRPr="00000000">
              <w:rPr>
                <w:color w:val="000000"/>
                <w:sz w:val="16"/>
                <w:szCs w:val="16"/>
                <w:rtl w:val="0"/>
              </w:rPr>
              <w:t xml:space="preserve"> reports and information regarding matters affecting the interest of consumers. </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9E">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the amended FCA Section 5(1)(a), the FTC may carry out, on its own initiative, investigation or inquiries in relation to the conduct of business in Jamaica to determine whether any enterprise is engaging in business in violation of the FCA. </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C9">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FTC alone cannot </w:t>
            </w:r>
            <w:r w:rsidDel="00000000" w:rsidR="00000000" w:rsidRPr="00000000">
              <w:rPr>
                <w:sz w:val="16"/>
                <w:szCs w:val="16"/>
                <w:rtl w:val="0"/>
              </w:rPr>
              <w:t xml:space="preserve">impose a penalty</w:t>
            </w:r>
            <w:r w:rsidDel="00000000" w:rsidR="00000000" w:rsidRPr="00000000">
              <w:rPr>
                <w:color w:val="000000"/>
                <w:sz w:val="16"/>
                <w:szCs w:val="16"/>
                <w:rtl w:val="0"/>
              </w:rPr>
              <w:t xml:space="preserve"> on business or </w:t>
            </w:r>
            <w:r w:rsidDel="00000000" w:rsidR="00000000" w:rsidRPr="00000000">
              <w:rPr>
                <w:sz w:val="16"/>
                <w:szCs w:val="16"/>
                <w:rtl w:val="0"/>
              </w:rPr>
              <w:t xml:space="preserve">individuals</w:t>
            </w:r>
            <w:r w:rsidDel="00000000" w:rsidR="00000000" w:rsidRPr="00000000">
              <w:rPr>
                <w:color w:val="000000"/>
                <w:sz w:val="16"/>
                <w:szCs w:val="16"/>
                <w:rtl w:val="0"/>
              </w:rPr>
              <w:t xml:space="preserve">. The FTC must seek the Supreme Court to enforce the penalty. There are several criminal and civil penalties listed under the FCA. </w:t>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According to the Amended FCA Section 42, any person who impedes, prevents, or obstructs FTC investigation is guilty of an offence and liable on summary conviction in a Resident Magistrate’s Court to a fine not exceeding $500,000 (USD $3,239) or to imprisonment for a term not exceeding one year or to both such fine and imprisonment. </w:t>
            </w:r>
          </w:p>
          <w:p w:rsidR="00000000" w:rsidDel="00000000" w:rsidP="00000000" w:rsidRDefault="00000000" w:rsidRPr="00000000" w14:paraId="000003D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Amended FCA Section 43, every person who: (1). Refuse to produce any document or record required by FCA; or (2). Destroy or alters any document or record required by FCA is guilty of an offense and liable on summary conviction in a Resident Magistrate’s Court to a fine not exceeding $500,000 (USD $3,239) or to imprisonment not exceeding one year or to both such fine and imprisonment. </w:t>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Amended FCA Section 44, any person who gives any information knows to be false or misleading is guilty of an offence and liable on a summary conviction in a Resident Magistrate’s Court to a fine not exceeding $500,000 or to imprisonment for a term not exceeding one year or to both such fine and imprisonment. </w:t>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Amended FCA Section 45, any person who refuse or fails to comply with FTC’s requirement, fails or refuses to appear or testify before the FTC is guilty of an offense and liable on conviction before a Resident Magistrate to a fine not exceeding $1,000,000 (USD $6,487) or to imprisonment for a term not exceeding two years or to both such fine and imprisonment. </w:t>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Under FCA Section 53, every person who publishes or communicates information in connection with FTC’s investigation is guilty of an offense and liable on a summary conviction before a Resident Magistrate to a fine not exceeding $100,000 (USD $648) or to imprisonment for a term not exceeding two years or to both such fine and imprisonment. </w:t>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Under the amended FCA Section 5, the FTC may carry out  investigation or inquiries on its own or requested by the Minister. The amended Section 6 gives the FTC the power to seek all documents necessary in furtherance of its investigation or inquiry. According to the amended Section 7, the FTC has the power to: (1). Summon and examine witnesses; (2). Call for and examine documents; (3). Administer oaths; (4). Require that any document submitted to the FTC be verified by affidavit; (5). Adjourn any investigation from time to time. Additionally, under Section 10, the FTC may enter and search any premises in relation to its investigation with a warrant. </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However, the FCA does not give the FTC the authority to enforce or impose penalties. Under Section 46, the FTC must submit its finding and investigation to the Supreme Court for enforcement. According to Section 47, only the Supreme Court may order the offending person to </w:t>
            </w:r>
            <w:r w:rsidDel="00000000" w:rsidR="00000000" w:rsidRPr="00000000">
              <w:rPr>
                <w:sz w:val="16"/>
                <w:szCs w:val="16"/>
                <w:rtl w:val="0"/>
              </w:rPr>
              <w:t xml:space="preserve">pay a fine</w:t>
            </w:r>
            <w:r w:rsidDel="00000000" w:rsidR="00000000" w:rsidRPr="00000000">
              <w:rPr>
                <w:color w:val="000000"/>
                <w:sz w:val="16"/>
                <w:szCs w:val="16"/>
                <w:rtl w:val="0"/>
              </w:rPr>
              <w:t xml:space="preserve"> not exceeding $1,000,000 (USD $6,487) </w:t>
            </w:r>
            <w:r w:rsidDel="00000000" w:rsidR="00000000" w:rsidRPr="00000000">
              <w:rPr>
                <w:sz w:val="16"/>
                <w:szCs w:val="16"/>
                <w:rtl w:val="0"/>
              </w:rPr>
              <w:t xml:space="preserve">for an individual</w:t>
            </w:r>
            <w:r w:rsidDel="00000000" w:rsidR="00000000" w:rsidRPr="00000000">
              <w:rPr>
                <w:color w:val="000000"/>
                <w:sz w:val="16"/>
                <w:szCs w:val="16"/>
                <w:rtl w:val="0"/>
              </w:rPr>
              <w:t xml:space="preserve"> and not exceeding $5,000,000 (USD $32,439) </w:t>
            </w:r>
            <w:r w:rsidDel="00000000" w:rsidR="00000000" w:rsidRPr="00000000">
              <w:rPr>
                <w:sz w:val="16"/>
                <w:szCs w:val="16"/>
                <w:rtl w:val="0"/>
              </w:rPr>
              <w:t xml:space="preserve">for a non-individual</w:t>
            </w:r>
            <w:r w:rsidDel="00000000" w:rsidR="00000000" w:rsidRPr="00000000">
              <w:rPr>
                <w:color w:val="000000"/>
                <w:sz w:val="16"/>
                <w:szCs w:val="16"/>
                <w:rtl w:val="0"/>
              </w:rPr>
              <w:t xml:space="preserve"> entity. Only the Supreme Court has the authority to grant injunction restraining violation under the FCA. </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F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Under Section 49, individuals or businesses may appeal the FTC’s finding and the Supreme Court’s judgement to a Judge in Chambers 15 days after the date of the finding. The Judge in Chambers may: (1) confirm, modify, or reserve FTC’s finding or any part thereof; or (2) direct the FTC to reconsider the whole or any specific part of the matter to which the appeal relates. </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w:t>
            </w:r>
            <w:r w:rsidDel="00000000" w:rsidR="00000000" w:rsidRPr="00000000">
              <w:rPr>
                <w:sz w:val="16"/>
                <w:szCs w:val="16"/>
                <w:rtl w:val="0"/>
              </w:rPr>
              <w:t xml:space="preserve"> </w:t>
            </w:r>
            <w:r w:rsidDel="00000000" w:rsidR="00000000" w:rsidRPr="00000000">
              <w:rPr>
                <w:color w:val="000000"/>
                <w:sz w:val="16"/>
                <w:szCs w:val="16"/>
                <w:rtl w:val="0"/>
              </w:rPr>
              <w:t xml:space="preserve">consider relevant and were not covered in any of the previous sections and questions.</w:t>
            </w:r>
          </w:p>
        </w:tc>
        <w:tc>
          <w:tcPr>
            <w:gridSpan w:val="8"/>
          </w:tcPr>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76" w:lineRule="auto"/>
              <w:ind w:left="-90" w:firstLine="0"/>
              <w:rPr>
                <w:color w:val="000000"/>
                <w:sz w:val="16"/>
                <w:szCs w:val="16"/>
              </w:rPr>
            </w:pPr>
            <w:r w:rsidDel="00000000" w:rsidR="00000000" w:rsidRPr="00000000">
              <w:rPr>
                <w:rtl w:val="0"/>
              </w:rPr>
            </w:r>
          </w:p>
        </w:tc>
      </w:tr>
    </w:tbl>
    <w:p w:rsidR="00000000" w:rsidDel="00000000" w:rsidP="00000000" w:rsidRDefault="00000000" w:rsidRPr="00000000" w14:paraId="0000040D">
      <w:pPr>
        <w:spacing w:line="276" w:lineRule="auto"/>
        <w:rPr>
          <w:sz w:val="16"/>
          <w:szCs w:val="16"/>
        </w:rPr>
      </w:pPr>
      <w:r w:rsidDel="00000000" w:rsidR="00000000" w:rsidRPr="00000000">
        <w:rPr>
          <w:rtl w:val="0"/>
        </w:rPr>
      </w:r>
    </w:p>
    <w:p w:rsidR="00000000" w:rsidDel="00000000" w:rsidP="00000000" w:rsidRDefault="00000000" w:rsidRPr="00000000" w14:paraId="0000040E">
      <w:pPr>
        <w:spacing w:line="276" w:lineRule="auto"/>
        <w:ind w:left="1610" w:right="1610" w:firstLine="0"/>
        <w:jc w:val="center"/>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0">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F">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ftc.gov.j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RibwedQZq3L2SmdZ7HXMSA8rA==">CgMxLjAaFAoBMBIPCg0IB0IJEgdHdW5nc3VoGhQKATESDwoNCAdCCRIHR3VuZ3N1aBoUCgEyEg8KDQgHQgkSB0d1bmdzdWgaFAoBMxIPCg0IB0IJEgdHdW5nc3VoGhQKATQSDwoNCAdCCRIHR3VuZ3N1aBoUCgE1Eg8KDQgHQgkSB0d1bmdzdWgaFAoBNhIPCg0IB0IJEgdHdW5nc3VoOAByITFIbmVnbTJaSFgxbTFESTNxaF9hRndObWdZZEhsY0ZmUA==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