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Style w:val="Heading1"/>
              <w:spacing w:before="119" w:line="276" w:lineRule="auto"/>
              <w:ind w:left="3057" w:right="3051" w:firstLine="0"/>
              <w:jc w:val="center"/>
              <w:rPr>
                <w:sz w:val="20"/>
                <w:szCs w:val="20"/>
              </w:rPr>
            </w:pPr>
            <w:bookmarkStart w:colFirst="0" w:colLast="0" w:name="_heading=h.huztnz2g0wzb" w:id="0"/>
            <w:bookmarkEnd w:id="0"/>
            <w:r w:rsidDel="00000000" w:rsidR="00000000" w:rsidRPr="00000000">
              <w:rPr>
                <w:sz w:val="20"/>
                <w:szCs w:val="20"/>
                <w:rtl w:val="0"/>
              </w:rPr>
              <w:t xml:space="preserve">Albania</w:t>
            </w:r>
          </w:p>
        </w:tc>
      </w:tr>
      <w:tr>
        <w:trPr>
          <w:cantSplit w:val="0"/>
          <w:trHeight w:val="465" w:hRule="atLeast"/>
          <w:tblHeader w:val="0"/>
        </w:trPr>
        <w:tc>
          <w:tcPr>
            <w:gridSpan w:val="12"/>
            <w:shd w:fill="b9a989" w:val="clear"/>
          </w:tcPr>
          <w:p w:rsidR="00000000" w:rsidDel="00000000" w:rsidP="00000000" w:rsidRDefault="00000000" w:rsidRPr="00000000" w14:paraId="0000000E">
            <w:pPr>
              <w:pStyle w:val="Heading2"/>
              <w:spacing w:before="120" w:line="276" w:lineRule="auto"/>
              <w:ind w:left="3059" w:right="3051" w:firstLine="0"/>
              <w:jc w:val="center"/>
              <w:rPr>
                <w:sz w:val="20"/>
                <w:szCs w:val="20"/>
              </w:rPr>
            </w:pPr>
            <w:bookmarkStart w:colFirst="0" w:colLast="0" w:name="_heading=h.k4puns63gign" w:id="1"/>
            <w:bookmarkEnd w:id="1"/>
            <w:r w:rsidDel="00000000" w:rsidR="00000000" w:rsidRPr="00000000">
              <w:rPr>
                <w:sz w:val="20"/>
                <w:szCs w:val="20"/>
                <w:rtl w:val="0"/>
              </w:rPr>
              <w:t xml:space="preserve">Competition Framework</w:t>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90" w:right="120" w:firstLine="0"/>
              <w:jc w:val="both"/>
              <w:rPr>
                <w:color w:val="000000"/>
                <w:sz w:val="16"/>
                <w:szCs w:val="16"/>
              </w:rPr>
            </w:pPr>
            <w:r w:rsidDel="00000000" w:rsidR="00000000" w:rsidRPr="00000000">
              <w:rPr>
                <w:color w:val="000000"/>
                <w:sz w:val="16"/>
                <w:szCs w:val="16"/>
                <w:rtl w:val="0"/>
              </w:rPr>
              <w:t xml:space="preserve">Law No. 9121 “On Competition Protection” dated July 28, 2003 is published in the Official Journal of Albania “Fletorja Zyrtare” (permalink: </w:t>
            </w:r>
            <w:hyperlink r:id="rId7">
              <w:r w:rsidDel="00000000" w:rsidR="00000000" w:rsidRPr="00000000">
                <w:rPr>
                  <w:color w:val="0000ff"/>
                  <w:sz w:val="16"/>
                  <w:szCs w:val="16"/>
                  <w:u w:val="single"/>
                  <w:rtl w:val="0"/>
                </w:rPr>
                <w:t xml:space="preserve">http://qbz.gov.al/eli/ligj/2003/07/28/9121</w:t>
              </w:r>
            </w:hyperlink>
            <w:r w:rsidDel="00000000" w:rsidR="00000000" w:rsidRPr="00000000">
              <w:rPr>
                <w:color w:val="000000"/>
                <w:sz w:val="16"/>
                <w:szCs w:val="16"/>
                <w:rtl w:val="0"/>
              </w:rPr>
              <w:t xml:space="preserve">). Law No. 9121 was most recently amended by Law No. 10 317 dated September 16, 2010 (permalink: </w:t>
            </w:r>
            <w:hyperlink r:id="rId8">
              <w:r w:rsidDel="00000000" w:rsidR="00000000" w:rsidRPr="00000000">
                <w:rPr>
                  <w:color w:val="0000ff"/>
                  <w:sz w:val="16"/>
                  <w:szCs w:val="16"/>
                  <w:u w:val="single"/>
                  <w:rtl w:val="0"/>
                </w:rPr>
                <w:t xml:space="preserve">http://qbz.gov.al/eli/ligj/2003/07/28/9121</w:t>
              </w:r>
            </w:hyperlink>
            <w:r w:rsidDel="00000000" w:rsidR="00000000" w:rsidRPr="00000000">
              <w:rPr>
                <w:color w:val="000000"/>
                <w:sz w:val="16"/>
                <w:szCs w:val="16"/>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07" w:firstLine="0"/>
              <w:rPr>
                <w:color w:val="0000ff"/>
                <w:sz w:val="16"/>
                <w:szCs w:val="16"/>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The Albanian Competition Authority (ACA) started its activity on March 1, 2004 based on Law No. 9121.</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b w:val="1"/>
                <w:color w:val="000000"/>
                <w:sz w:val="16"/>
                <w:szCs w:val="16"/>
                <w:rtl w:val="0"/>
              </w:rPr>
              <w:t xml:space="preserve">Website: </w:t>
            </w:r>
            <w:hyperlink r:id="rId9">
              <w:r w:rsidDel="00000000" w:rsidR="00000000" w:rsidRPr="00000000">
                <w:rPr>
                  <w:color w:val="0000ff"/>
                  <w:sz w:val="16"/>
                  <w:szCs w:val="16"/>
                  <w:u w:val="single"/>
                  <w:rtl w:val="0"/>
                </w:rPr>
                <w:t xml:space="preserve">http://www.caa.gov.al/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7">
            <w:pPr>
              <w:pStyle w:val="Heading2"/>
              <w:spacing w:before="119" w:line="276" w:lineRule="auto"/>
              <w:ind w:left="3840" w:right="3834" w:firstLine="0"/>
              <w:jc w:val="center"/>
              <w:rPr>
                <w:sz w:val="20"/>
                <w:szCs w:val="20"/>
              </w:rPr>
            </w:pPr>
            <w:bookmarkStart w:colFirst="0" w:colLast="0" w:name="_heading=h.c8nq322sr9ia" w:id="2"/>
            <w:bookmarkEnd w:id="2"/>
            <w:r w:rsidDel="00000000" w:rsidR="00000000" w:rsidRPr="00000000">
              <w:rPr>
                <w:sz w:val="20"/>
                <w:szCs w:val="20"/>
                <w:rtl w:val="0"/>
              </w:rPr>
              <w:t xml:space="preserve">Policy-Making Agents</w:t>
            </w:r>
          </w:p>
          <w:p w:rsidR="00000000" w:rsidDel="00000000" w:rsidP="00000000" w:rsidRDefault="00000000" w:rsidRPr="00000000" w14:paraId="00000038">
            <w:pPr>
              <w:pStyle w:val="Heading3"/>
              <w:spacing w:before="119" w:line="276" w:lineRule="auto"/>
              <w:ind w:left="3059" w:right="3050" w:firstLine="0"/>
              <w:jc w:val="center"/>
              <w:rPr>
                <w:sz w:val="20"/>
                <w:szCs w:val="20"/>
              </w:rPr>
            </w:pPr>
            <w:bookmarkStart w:colFirst="0" w:colLast="0" w:name="_heading=h.fe3v1aebbk03" w:id="3"/>
            <w:bookmarkEnd w:id="3"/>
            <w:r w:rsidDel="00000000" w:rsidR="00000000" w:rsidRPr="00000000">
              <w:rPr>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5135.000000000001"/>
              </w:tabs>
              <w:spacing w:before="119" w:line="276" w:lineRule="auto"/>
              <w:ind w:left="107" w:right="625" w:firstLine="0"/>
              <w:rPr>
                <w:b w:val="1"/>
                <w:smallCaps w:val="1"/>
                <w:color w:val="000000"/>
                <w:sz w:val="20"/>
                <w:szCs w:val="20"/>
              </w:rPr>
            </w:pPr>
            <w:r w:rsidDel="00000000" w:rsidR="00000000" w:rsidRPr="00000000">
              <w:rPr>
                <w:color w:val="000000"/>
                <w:sz w:val="16"/>
                <w:szCs w:val="16"/>
                <w:rtl w:val="0"/>
              </w:rPr>
              <w:t xml:space="preserve">How many agencies are responsible for</w:t>
            </w:r>
            <w:r w:rsidDel="00000000" w:rsidR="00000000" w:rsidRPr="00000000">
              <w:rPr>
                <w:sz w:val="16"/>
                <w:szCs w:val="16"/>
                <w:rtl w:val="0"/>
              </w:rPr>
              <w:t xml:space="preserve"> </w:t>
            </w:r>
            <w:r w:rsidDel="00000000" w:rsidR="00000000" w:rsidRPr="00000000">
              <w:rPr>
                <w:color w:val="000000"/>
                <w:sz w:val="16"/>
                <w:szCs w:val="16"/>
                <w:rtl w:val="0"/>
              </w:rPr>
              <w:t xml:space="preserve">competition enforcement?</w:t>
            </w:r>
            <w:r w:rsidDel="00000000" w:rsidR="00000000" w:rsidRPr="00000000">
              <w:rPr>
                <w:rtl w:val="0"/>
              </w:rPr>
            </w:r>
          </w:p>
        </w:tc>
        <w:tc>
          <w:tcPr>
            <w:gridSpan w:val="5"/>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Albania has one authority to ensure free and effective competition under Law No. 9121.</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ACA: is an independent public entity. The ACA is tasked with ensuring free and effective competition in the market under Law No. 9121.  ACA is composed of the Commission (decision-making body) and the Secretariat (executive body) (see </w:t>
            </w:r>
            <w:hyperlink r:id="rId10">
              <w:r w:rsidDel="00000000" w:rsidR="00000000" w:rsidRPr="00000000">
                <w:rPr>
                  <w:color w:val="0000ff"/>
                  <w:sz w:val="16"/>
                  <w:szCs w:val="16"/>
                  <w:u w:val="single"/>
                  <w:rtl w:val="0"/>
                </w:rPr>
                <w:t xml:space="preserve">http://www.caa.gov.al/about/structure</w:t>
              </w:r>
            </w:hyperlink>
            <w:r w:rsidDel="00000000" w:rsidR="00000000" w:rsidRPr="00000000">
              <w:rPr>
                <w:color w:val="000000"/>
                <w:sz w:val="16"/>
                <w:szCs w:val="16"/>
                <w:rtl w:val="0"/>
              </w:rPr>
              <w:t xml:space="preserve"> for the organizational chart).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19" w:line="276" w:lineRule="auto"/>
              <w:ind w:left="107" w:right="86"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right="490"/>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color w:val="000000"/>
                <w:sz w:val="16"/>
                <w:szCs w:val="16"/>
                <w:rtl w:val="0"/>
              </w:rPr>
              <w:t xml:space="preserve">No.</w:t>
            </w:r>
          </w:p>
        </w:tc>
      </w:tr>
      <w:tr>
        <w:trPr>
          <w:cantSplit w:val="0"/>
          <w:trHeight w:val="465" w:hRule="atLeast"/>
          <w:tblHeader w:val="0"/>
        </w:trPr>
        <w:tc>
          <w:tcPr>
            <w:gridSpan w:val="7"/>
            <w:shd w:fill="auto"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19" w:line="276" w:lineRule="auto"/>
              <w:ind w:left="107" w:right="490" w:firstLine="0"/>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19" w:line="276" w:lineRule="auto"/>
              <w:ind w:right="86"/>
              <w:jc w:val="both"/>
              <w:rPr>
                <w:b w:val="1"/>
                <w:smallCaps w:val="1"/>
                <w:color w:val="000000"/>
                <w:sz w:val="20"/>
                <w:szCs w:val="20"/>
              </w:rPr>
            </w:pPr>
            <w:r w:rsidDel="00000000" w:rsidR="00000000" w:rsidRPr="00000000">
              <w:rPr>
                <w:color w:val="000000"/>
                <w:sz w:val="16"/>
                <w:szCs w:val="16"/>
                <w:rtl w:val="0"/>
              </w:rPr>
              <w:t xml:space="preserve">No.</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6B">
            <w:pPr>
              <w:pStyle w:val="Heading2"/>
              <w:spacing w:before="119" w:line="276" w:lineRule="auto"/>
              <w:ind w:left="3059" w:right="3050" w:firstLine="0"/>
              <w:jc w:val="center"/>
              <w:rPr>
                <w:sz w:val="20"/>
                <w:szCs w:val="20"/>
              </w:rPr>
            </w:pPr>
            <w:bookmarkStart w:colFirst="0" w:colLast="0" w:name="_heading=h.k6vgbx81vo7" w:id="4"/>
            <w:bookmarkEnd w:id="4"/>
            <w:r w:rsidDel="00000000" w:rsidR="00000000" w:rsidRPr="00000000">
              <w:rPr>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9" w:line="276" w:lineRule="auto"/>
              <w:ind w:right="120"/>
              <w:rPr>
                <w:b w:val="1"/>
                <w:smallCaps w:val="1"/>
                <w:color w:val="000000"/>
                <w:sz w:val="16"/>
                <w:szCs w:val="16"/>
              </w:rPr>
            </w:pPr>
            <w:r w:rsidDel="00000000" w:rsidR="00000000" w:rsidRPr="00000000">
              <w:rPr>
                <w:color w:val="000000"/>
                <w:sz w:val="16"/>
                <w:szCs w:val="16"/>
                <w:rtl w:val="0"/>
              </w:rPr>
              <w:t xml:space="preserve">Are there different authorities</w:t>
            </w:r>
            <w:r w:rsidDel="00000000" w:rsidR="00000000" w:rsidRPr="00000000">
              <w:rPr>
                <w:sz w:val="16"/>
                <w:szCs w:val="16"/>
                <w:rtl w:val="0"/>
              </w:rPr>
              <w:t xml:space="preserve"> </w:t>
            </w:r>
            <w:r w:rsidDel="00000000" w:rsidR="00000000" w:rsidRPr="00000000">
              <w:rPr>
                <w:color w:val="000000"/>
                <w:sz w:val="16"/>
                <w:szCs w:val="16"/>
                <w:rtl w:val="0"/>
              </w:rPr>
              <w:t xml:space="preserve">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7C">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19"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19" w:line="276" w:lineRule="auto"/>
              <w:ind w:left="107" w:right="43"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19" w:line="276" w:lineRule="auto"/>
              <w:ind w:right="120"/>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89">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19" w:line="276" w:lineRule="auto"/>
              <w:ind w:left="107" w:right="44"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19" w:line="276" w:lineRule="auto"/>
              <w:ind w:left="107" w:right="44"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19" w:line="276" w:lineRule="auto"/>
              <w:ind w:right="120"/>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96">
            <w:pPr>
              <w:spacing w:line="276" w:lineRule="auto"/>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19" w:line="276" w:lineRule="auto"/>
              <w:ind w:left="135" w:right="10" w:firstLine="0"/>
              <w:rPr>
                <w:color w:val="000000"/>
                <w:sz w:val="16"/>
                <w:szCs w:val="16"/>
              </w:rPr>
            </w:pPr>
            <w:r w:rsidDel="00000000" w:rsidR="00000000" w:rsidRPr="00000000">
              <w:rPr>
                <w:color w:val="000000"/>
                <w:sz w:val="16"/>
                <w:szCs w:val="16"/>
                <w:rtl w:val="0"/>
              </w:rPr>
              <w:t xml:space="preserve">Although a private right of action is possible per Article 65 of Law No. 9121, Albania lacks precedent for private</w:t>
            </w:r>
            <w:r w:rsidDel="00000000" w:rsidR="00000000" w:rsidRPr="00000000">
              <w:rPr>
                <w:sz w:val="16"/>
                <w:szCs w:val="16"/>
                <w:rtl w:val="0"/>
              </w:rPr>
              <w:t xml:space="preserve"> </w:t>
            </w:r>
            <w:r w:rsidDel="00000000" w:rsidR="00000000" w:rsidRPr="00000000">
              <w:rPr>
                <w:color w:val="000000"/>
                <w:sz w:val="16"/>
                <w:szCs w:val="16"/>
                <w:rtl w:val="0"/>
              </w:rPr>
              <w:t xml:space="preserve">enforcement of competition law.</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19" w:line="276" w:lineRule="auto"/>
              <w:ind w:left="135" w:right="10" w:firstLine="0"/>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19" w:line="276" w:lineRule="auto"/>
              <w:ind w:left="107" w:right="3050"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sz w:val="20"/>
                <w:szCs w:val="20"/>
                <w:rtl w:val="0"/>
              </w:rPr>
              <w:t xml:space="preserve">Albanian Competition Authority</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6">
            <w:pPr>
              <w:pStyle w:val="Heading3"/>
              <w:spacing w:before="119" w:line="276" w:lineRule="auto"/>
              <w:ind w:left="3059" w:right="3050" w:firstLine="0"/>
              <w:jc w:val="center"/>
              <w:rPr>
                <w:sz w:val="20"/>
                <w:szCs w:val="20"/>
              </w:rPr>
            </w:pPr>
            <w:bookmarkStart w:colFirst="0" w:colLast="0" w:name="_heading=h.oljdza4yeee" w:id="5"/>
            <w:bookmarkEnd w:id="5"/>
            <w:r w:rsidDel="00000000" w:rsidR="00000000" w:rsidRPr="00000000">
              <w:rPr>
                <w:sz w:val="20"/>
                <w:szCs w:val="20"/>
                <w:rtl w:val="0"/>
              </w:rPr>
              <w:t xml:space="preserve">Status of the Competition Authority </w:t>
            </w:r>
          </w:p>
        </w:tc>
      </w:tr>
      <w:tr>
        <w:trPr>
          <w:cantSplit w:val="0"/>
          <w:trHeight w:val="179" w:hRule="atLeast"/>
          <w:tblHeader w:val="0"/>
        </w:trPr>
        <w:tc>
          <w:tcPr>
            <w:gridSpan w:val="2"/>
            <w:shd w:fill="d2c7b4"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color w:val="000000"/>
                <w:sz w:val="14"/>
                <w:szCs w:val="14"/>
              </w:rPr>
            </w:pPr>
            <w:r w:rsidDel="00000000" w:rsidR="00000000" w:rsidRPr="00000000">
              <w:rPr>
                <w:color w:val="000000"/>
                <w:sz w:val="14"/>
                <w:szCs w:val="14"/>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1"/>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Article 24 of Law No. 9121.</w:t>
            </w:r>
          </w:p>
        </w:tc>
      </w:tr>
      <w:tr>
        <w:trPr>
          <w:cantSplit w:val="0"/>
          <w:trHeight w:val="276" w:hRule="atLeast"/>
          <w:tblHeader w:val="0"/>
        </w:trPr>
        <w:tc>
          <w:tcPr>
            <w:gridSpan w:val="2"/>
            <w:vMerge w:val="restart"/>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2"/>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Article 28 of Law No. 9121. Annual Reports are available on the ACA’s website (http://www.caa.gov.al/publications/list/category/1/page/1)</w:t>
            </w:r>
          </w:p>
        </w:tc>
      </w:tr>
      <w:tr>
        <w:trPr>
          <w:cantSplit w:val="0"/>
          <w:trHeight w:val="540" w:hRule="atLeast"/>
          <w:tblHeader w:val="0"/>
        </w:trPr>
        <w:tc>
          <w:tcPr>
            <w:gridSpan w:val="2"/>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left="108" w:right="153" w:firstLine="0"/>
              <w:jc w:val="both"/>
              <w:rPr>
                <w:color w:val="000000"/>
                <w:sz w:val="16"/>
                <w:szCs w:val="16"/>
              </w:rPr>
            </w:pPr>
            <w:r w:rsidDel="00000000" w:rsidR="00000000" w:rsidRPr="00000000">
              <w:rPr>
                <w:color w:val="000000"/>
                <w:sz w:val="16"/>
                <w:szCs w:val="16"/>
                <w:rtl w:val="0"/>
              </w:rPr>
              <w:t xml:space="preserve">Article 24 of Law No. 9121 requires the ACA to give opinions upon Parliament’s request on issues related to competition.</w:t>
            </w:r>
          </w:p>
        </w:tc>
      </w:tr>
      <w:tr>
        <w:trPr>
          <w:cantSplit w:val="0"/>
          <w:trHeight w:val="539" w:hRule="atLeast"/>
          <w:tblHeader w:val="0"/>
        </w:trPr>
        <w:tc>
          <w:tcPr>
            <w:gridSpan w:val="2"/>
            <w:vMerge w:val="continue"/>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3"/>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Under Article 40 of Law No. 9121, the ACA’s decisions may be appealed to the District Court of Tirana within 30 days from the date of notification of the ACA’s decision.</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422"/>
              </w:tabs>
              <w:spacing w:line="276" w:lineRule="auto"/>
              <w:ind w:left="90" w:right="45" w:firstLine="0"/>
              <w:jc w:val="both"/>
              <w:rPr>
                <w:i w:val="1"/>
                <w:color w:val="000000"/>
                <w:sz w:val="16"/>
                <w:szCs w:val="16"/>
              </w:rPr>
            </w:pP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b w:val="1"/>
                <w:i w:val="1"/>
                <w:color w:val="000000"/>
                <w:sz w:val="16"/>
                <w:szCs w:val="16"/>
                <w:rtl w:val="0"/>
              </w:rPr>
              <w:t xml:space="preserve">Other obligations/comments: </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180" w:hRule="atLeast"/>
          <w:tblHeader w:val="0"/>
        </w:trPr>
        <w:tc>
          <w:tcPr>
            <w:gridSpan w:val="2"/>
            <w:shd w:fill="d2c7b4"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ind w:left="135" w:right="100" w:firstLine="0"/>
              <w:rPr>
                <w:color w:val="000000"/>
                <w:sz w:val="16"/>
                <w:szCs w:val="16"/>
              </w:rPr>
            </w:pPr>
            <w:r w:rsidDel="00000000" w:rsidR="00000000" w:rsidRPr="00000000">
              <w:rPr>
                <w:color w:val="000000"/>
                <w:sz w:val="16"/>
                <w:szCs w:val="16"/>
                <w:rtl w:val="0"/>
              </w:rPr>
              <w:t xml:space="preserve">Articles 21 and 22 of Law No. 9121.</w:t>
            </w:r>
          </w:p>
        </w:tc>
      </w:tr>
      <w:tr>
        <w:trPr>
          <w:cantSplit w:val="0"/>
          <w:trHeight w:val="359" w:hRule="atLeast"/>
          <w:tblHeader w:val="0"/>
        </w:trPr>
        <w:tc>
          <w:tcPr>
            <w:gridSpan w:val="2"/>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ind w:left="135" w:right="100" w:firstLine="0"/>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tc>
      </w:tr>
      <w:tr>
        <w:trPr>
          <w:cantSplit w:val="0"/>
          <w:trHeight w:val="360" w:hRule="atLeast"/>
          <w:tblHeader w:val="0"/>
        </w:trPr>
        <w:tc>
          <w:tcPr>
            <w:gridSpan w:val="2"/>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1" w:line="276" w:lineRule="auto"/>
              <w:ind w:left="135" w:right="100" w:firstLine="0"/>
              <w:rPr>
                <w:color w:val="000000"/>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ind w:left="135" w:right="100" w:firstLine="0"/>
              <w:rPr>
                <w:color w:val="000000"/>
                <w:sz w:val="16"/>
                <w:szCs w:val="16"/>
              </w:rPr>
            </w:pPr>
            <w:r w:rsidDel="00000000" w:rsidR="00000000" w:rsidRPr="00000000">
              <w:rPr>
                <w:color w:val="000000"/>
                <w:sz w:val="16"/>
                <w:szCs w:val="16"/>
                <w:rtl w:val="0"/>
              </w:rPr>
              <w:t xml:space="preserve">Articles 28, 47, 64 of Law No. 9121.</w:t>
            </w:r>
          </w:p>
        </w:tc>
      </w:tr>
      <w:tr>
        <w:trPr>
          <w:cantSplit w:val="0"/>
          <w:trHeight w:val="539" w:hRule="atLeast"/>
          <w:tblHeader w:val="0"/>
        </w:trPr>
        <w:tc>
          <w:tcPr>
            <w:gridSpan w:val="2"/>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135" w:right="100" w:firstLine="0"/>
              <w:rPr>
                <w:sz w:val="16"/>
                <w:szCs w:val="16"/>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135" w:right="100" w:firstLine="0"/>
              <w:rPr>
                <w:color w:val="000000"/>
                <w:sz w:val="16"/>
                <w:szCs w:val="16"/>
              </w:rPr>
            </w:pPr>
            <w:r w:rsidDel="00000000" w:rsidR="00000000" w:rsidRPr="00000000">
              <w:rPr>
                <w:color w:val="000000"/>
                <w:sz w:val="16"/>
                <w:szCs w:val="16"/>
                <w:rtl w:val="0"/>
              </w:rPr>
              <w:t xml:space="preserve">Article 31 of Law No. 9121 states that Parliament approves the ACA’s annual budget. Budgets for 2015 to 2023 are published on the ACA’s website at </w:t>
            </w:r>
            <w:hyperlink r:id="rId11">
              <w:r w:rsidDel="00000000" w:rsidR="00000000" w:rsidRPr="00000000">
                <w:rPr>
                  <w:color w:val="0000ff"/>
                  <w:sz w:val="16"/>
                  <w:szCs w:val="16"/>
                  <w:u w:val="single"/>
                  <w:rtl w:val="0"/>
                </w:rPr>
                <w:t xml:space="preserve">http://caa.gov.al/trasparency/budget</w:t>
              </w:r>
            </w:hyperlink>
            <w:r w:rsidDel="00000000" w:rsidR="00000000" w:rsidRPr="00000000">
              <w:rPr>
                <w:color w:val="000000"/>
                <w:sz w:val="16"/>
                <w:szCs w:val="16"/>
                <w:rtl w:val="0"/>
              </w:rPr>
              <w:t xml:space="preserve">. The budget for 2023 is 78,540,000 leke ($828,918.15 USD). According to last year’s annual report, the budget for 2022 was $71,600,000 leke ($767,272.76 USD).</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135" w:right="100" w:firstLine="0"/>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color w:val="000000"/>
                <w:sz w:val="16"/>
                <w:szCs w:val="16"/>
                <w:rtl w:val="0"/>
              </w:rPr>
              <w:t xml:space="preserve">Article 31 states that revenues collected under Law No. 9121 are disbursed to the State Budget.</w:t>
            </w:r>
          </w:p>
        </w:tc>
      </w:tr>
      <w:tr>
        <w:trPr>
          <w:cantSplit w:val="0"/>
          <w:trHeight w:val="463" w:hRule="atLeast"/>
          <w:tblHeader w:val="0"/>
        </w:trPr>
        <w:tc>
          <w:tcPr>
            <w:gridSpan w:val="12"/>
            <w:shd w:fill="b9a989" w:val="clear"/>
          </w:tcPr>
          <w:p w:rsidR="00000000" w:rsidDel="00000000" w:rsidP="00000000" w:rsidRDefault="00000000" w:rsidRPr="00000000" w14:paraId="0000019A">
            <w:pPr>
              <w:pStyle w:val="Heading3"/>
              <w:spacing w:before="119" w:line="276" w:lineRule="auto"/>
              <w:ind w:left="3059" w:right="3051" w:firstLine="0"/>
              <w:jc w:val="center"/>
              <w:rPr>
                <w:sz w:val="20"/>
                <w:szCs w:val="20"/>
              </w:rPr>
            </w:pPr>
            <w:bookmarkStart w:colFirst="0" w:colLast="0" w:name="_heading=h.mtao4byj7282" w:id="6"/>
            <w:bookmarkEnd w:id="6"/>
            <w:r w:rsidDel="00000000" w:rsidR="00000000" w:rsidRPr="00000000">
              <w:rPr>
                <w:sz w:val="20"/>
                <w:szCs w:val="20"/>
                <w:rtl w:val="0"/>
              </w:rPr>
              <w:t xml:space="preserve">Governance of the Competition Authority</w:t>
            </w:r>
          </w:p>
        </w:tc>
      </w:tr>
      <w:tr>
        <w:trPr>
          <w:cantSplit w:val="0"/>
          <w:trHeight w:val="360" w:hRule="atLeast"/>
          <w:tblHeader w:val="0"/>
        </w:trPr>
        <w:tc>
          <w:tcPr>
            <w:gridSpan w:val="2"/>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Single Chairman.</w:t>
            </w:r>
          </w:p>
        </w:tc>
      </w:tr>
      <w:tr>
        <w:trPr>
          <w:cantSplit w:val="0"/>
          <w:trHeight w:val="179" w:hRule="atLeast"/>
          <w:tblHeader w:val="0"/>
        </w:trPr>
        <w:tc>
          <w:tcPr>
            <w:gridSpan w:val="2"/>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Commission members must meet the criteria established by Article 20 of Law No. 9121. According to Article 21, to be elected as a Commission member, the Commission member must receive the majority of votes in the presence of more than half of all members of the Parliament.</w:t>
            </w:r>
          </w:p>
        </w:tc>
      </w:tr>
      <w:tr>
        <w:trPr>
          <w:cantSplit w:val="0"/>
          <w:trHeight w:val="360" w:hRule="atLeast"/>
          <w:tblHeader w:val="0"/>
        </w:trPr>
        <w:tc>
          <w:tcPr>
            <w:gridSpan w:val="2"/>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ind w:left="135" w:right="145" w:firstLine="0"/>
              <w:jc w:val="both"/>
              <w:rPr>
                <w:color w:val="000000"/>
                <w:sz w:val="16"/>
                <w:szCs w:val="16"/>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ind w:left="135" w:right="145" w:firstLine="0"/>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ind w:left="135" w:right="145" w:firstLine="0"/>
              <w:jc w:val="both"/>
              <w:rPr>
                <w:i w:val="1"/>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135" w:right="145" w:firstLine="0"/>
              <w:jc w:val="both"/>
              <w:rPr>
                <w:color w:val="000000"/>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135" w:right="145" w:firstLine="0"/>
              <w:jc w:val="both"/>
              <w:rPr>
                <w:color w:val="000000"/>
                <w:sz w:val="16"/>
                <w:szCs w:val="16"/>
              </w:rPr>
            </w:pPr>
            <w:r w:rsidDel="00000000" w:rsidR="00000000" w:rsidRPr="00000000">
              <w:rPr>
                <w:color w:val="000000"/>
                <w:sz w:val="16"/>
                <w:szCs w:val="16"/>
                <w:rtl w:val="0"/>
              </w:rPr>
              <w:t xml:space="preserve">Under Article 21 of Law No. 9121, Commission members may be reappointed for another term (but may not be reappointed more than twice consecutively).</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35" w:right="145"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ind w:left="135" w:right="145" w:firstLine="0"/>
              <w:jc w:val="both"/>
              <w:rPr>
                <w:sz w:val="16"/>
                <w:szCs w:val="16"/>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left="135" w:right="145" w:firstLine="0"/>
              <w:jc w:val="both"/>
              <w:rPr>
                <w:color w:val="000000"/>
                <w:sz w:val="16"/>
                <w:szCs w:val="16"/>
              </w:rPr>
            </w:pPr>
            <w:r w:rsidDel="00000000" w:rsidR="00000000" w:rsidRPr="00000000">
              <w:rPr>
                <w:color w:val="000000"/>
                <w:sz w:val="16"/>
                <w:szCs w:val="16"/>
                <w:rtl w:val="0"/>
              </w:rPr>
              <w:t xml:space="preserve">Article 20 of Law No. 9121 establishes that Commission members:</w:t>
            </w:r>
          </w:p>
          <w:p w:rsidR="00000000" w:rsidDel="00000000" w:rsidP="00000000" w:rsidRDefault="00000000" w:rsidRPr="00000000" w14:paraId="000001E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35" w:right="145" w:firstLine="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must be Albanian citizens</w:t>
            </w:r>
          </w:p>
          <w:p w:rsidR="00000000" w:rsidDel="00000000" w:rsidP="00000000" w:rsidRDefault="00000000" w:rsidRPr="00000000" w14:paraId="000001E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35" w:right="145" w:firstLine="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have no less than 15 years of work experience</w:t>
            </w:r>
          </w:p>
          <w:p w:rsidR="00000000" w:rsidDel="00000000" w:rsidP="00000000" w:rsidRDefault="00000000" w:rsidRPr="00000000" w14:paraId="000001E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35" w:right="145" w:firstLine="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be members of the university academic body for at least 5 years or have a scientific degree in the economic or justice field, specialty “Civil/Administrative Law”</w:t>
            </w:r>
          </w:p>
          <w:p w:rsidR="00000000" w:rsidDel="00000000" w:rsidP="00000000" w:rsidRDefault="00000000" w:rsidRPr="00000000" w14:paraId="000001E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35" w:right="145" w:firstLine="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not dismissed from work or civil service as a result of disciplinary measures.</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ind w:left="135" w:right="145" w:firstLine="0"/>
              <w:jc w:val="both"/>
              <w:rPr>
                <w:color w:val="000000"/>
                <w:sz w:val="16"/>
                <w:szCs w:val="16"/>
              </w:rPr>
            </w:pPr>
            <w:r w:rsidDel="00000000" w:rsidR="00000000" w:rsidRPr="00000000">
              <w:rPr>
                <w:color w:val="000000"/>
                <w:sz w:val="16"/>
                <w:szCs w:val="16"/>
                <w:rtl w:val="0"/>
              </w:rPr>
              <w:t xml:space="preserve">Article 22 of Law No. 9121 also establishes that persons who are part of high leading structures of political parties, commercial associations, or persons who exercise economic activity shall not be Commission members.</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ind w:left="135" w:right="145"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1EE">
            <w:pPr>
              <w:pStyle w:val="Heading2"/>
              <w:spacing w:before="120" w:line="276" w:lineRule="auto"/>
              <w:ind w:left="3059" w:right="3050" w:firstLine="0"/>
              <w:jc w:val="center"/>
              <w:rPr>
                <w:sz w:val="20"/>
                <w:szCs w:val="20"/>
              </w:rPr>
            </w:pPr>
            <w:bookmarkStart w:colFirst="0" w:colLast="0" w:name="_heading=h.gwrx9e6wsruv" w:id="7"/>
            <w:bookmarkEnd w:id="7"/>
            <w:r w:rsidDel="00000000" w:rsidR="00000000" w:rsidRPr="00000000">
              <w:rPr>
                <w:sz w:val="20"/>
                <w:szCs w:val="20"/>
                <w:rtl w:val="0"/>
              </w:rPr>
              <w:t xml:space="preserve">Architecture</w:t>
            </w:r>
          </w:p>
        </w:tc>
      </w:tr>
      <w:tr>
        <w:trPr>
          <w:cantSplit w:val="0"/>
          <w:trHeight w:val="540" w:hRule="atLeast"/>
          <w:tblHeader w:val="0"/>
        </w:trPr>
        <w:tc>
          <w:tcPr>
            <w:gridSpan w:val="2"/>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color w:val="000000"/>
                <w:sz w:val="16"/>
                <w:szCs w:val="16"/>
                <w:rtl w:val="0"/>
              </w:rPr>
              <w:t xml:space="preserve">If your answer is “part of a bigger entity”, please explain briefly how the bigger entity is organized.</w:t>
            </w:r>
          </w:p>
        </w:tc>
      </w:tr>
      <w:tr>
        <w:trPr>
          <w:cantSplit w:val="0"/>
          <w:trHeight w:val="463" w:hRule="atLeast"/>
          <w:tblHeader w:val="0"/>
        </w:trPr>
        <w:tc>
          <w:tcPr>
            <w:gridSpan w:val="12"/>
            <w:shd w:fill="b9a989" w:val="clear"/>
          </w:tcPr>
          <w:p w:rsidR="00000000" w:rsidDel="00000000" w:rsidP="00000000" w:rsidRDefault="00000000" w:rsidRPr="00000000" w14:paraId="00000206">
            <w:pPr>
              <w:pStyle w:val="Heading2"/>
              <w:spacing w:before="119" w:line="276" w:lineRule="auto"/>
              <w:ind w:left="3841" w:right="3833" w:firstLine="0"/>
              <w:jc w:val="center"/>
              <w:rPr>
                <w:sz w:val="20"/>
                <w:szCs w:val="20"/>
              </w:rPr>
            </w:pPr>
            <w:bookmarkStart w:colFirst="0" w:colLast="0" w:name="_heading=h.u78dzaxi8gv3" w:id="8"/>
            <w:bookmarkEnd w:id="8"/>
            <w:r w:rsidDel="00000000" w:rsidR="00000000" w:rsidRPr="00000000">
              <w:rPr>
                <w:sz w:val="20"/>
                <w:szCs w:val="20"/>
                <w:rtl w:val="0"/>
              </w:rPr>
              <w:t xml:space="preserve">Policy Duties</w:t>
            </w:r>
          </w:p>
        </w:tc>
      </w:tr>
      <w:tr>
        <w:trPr>
          <w:cantSplit w:val="0"/>
          <w:trHeight w:val="275" w:hRule="atLeast"/>
          <w:tblHeader w:val="0"/>
        </w:trPr>
        <w:tc>
          <w:tcPr>
            <w:gridSpan w:val="3"/>
            <w:vMerge w:val="restart"/>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Exclusive </w:t>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b w:val="1"/>
                <w:color w:val="000000"/>
                <w:sz w:val="16"/>
                <w:szCs w:val="16"/>
                <w:rtl w:val="0"/>
              </w:rPr>
              <w:t xml:space="preserve">Other mandates:</w:t>
            </w: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36">
            <w:pPr>
              <w:pStyle w:val="Heading2"/>
              <w:spacing w:before="119" w:line="276" w:lineRule="auto"/>
              <w:ind w:left="3839" w:right="3834" w:firstLine="0"/>
              <w:jc w:val="center"/>
              <w:rPr>
                <w:sz w:val="20"/>
                <w:szCs w:val="20"/>
              </w:rPr>
            </w:pPr>
            <w:bookmarkStart w:colFirst="0" w:colLast="0" w:name="_heading=h.53umfy5appja" w:id="9"/>
            <w:bookmarkEnd w:id="9"/>
            <w:r w:rsidDel="00000000" w:rsidR="00000000" w:rsidRPr="00000000">
              <w:rPr>
                <w:sz w:val="20"/>
                <w:szCs w:val="20"/>
                <w:rtl w:val="0"/>
              </w:rPr>
              <w:t xml:space="preserve">Portfolio Instruments</w:t>
            </w:r>
          </w:p>
        </w:tc>
      </w:tr>
      <w:tr>
        <w:trPr>
          <w:cantSplit w:val="0"/>
          <w:trHeight w:val="178" w:hRule="atLeast"/>
          <w:tblHeader w:val="0"/>
        </w:trPr>
        <w:tc>
          <w:tcPr>
            <w:gridSpan w:val="12"/>
            <w:shd w:fill="d2c7b4" w:val="clea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left="107" w:right="135" w:firstLine="0"/>
              <w:jc w:val="both"/>
              <w:rPr>
                <w:color w:val="000000"/>
                <w:sz w:val="16"/>
                <w:szCs w:val="16"/>
              </w:rPr>
            </w:pPr>
            <w:r w:rsidDel="00000000" w:rsidR="00000000" w:rsidRPr="00000000">
              <w:rPr>
                <w:color w:val="000000"/>
                <w:sz w:val="16"/>
                <w:szCs w:val="16"/>
                <w:rtl w:val="0"/>
              </w:rPr>
              <w:t xml:space="preserve">Article 4 of Law No. 9121 establishes the various types of prohibited agreements. The ACA may impose fines (Articles 73, 74, 75, 76). The ACA may also impose fines not exceeding 5 million leks ($53,580.50 USD) on individuals if they intentionally or negligently carry out or cooperate sanctioned actions.</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76" w:lineRule="auto"/>
              <w:ind w:left="145" w:right="135" w:firstLine="0"/>
              <w:jc w:val="both"/>
              <w:rPr>
                <w:color w:val="000000"/>
                <w:sz w:val="16"/>
                <w:szCs w:val="16"/>
              </w:rPr>
            </w:pPr>
            <w:r w:rsidDel="00000000" w:rsidR="00000000" w:rsidRPr="00000000">
              <w:rPr>
                <w:color w:val="000000"/>
                <w:sz w:val="16"/>
                <w:szCs w:val="16"/>
                <w:rtl w:val="0"/>
              </w:rPr>
              <w:t xml:space="preserve">Article 9 of Law No. 9121 prohibits abuse of a dominant position in the market and explains the forms of conduct that qualify as abuse of a dominant position (such as directly or indirectly imposing unfair purchase or selling prices or other unfair trading conditions, or limiting production, markets, or technical development. </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76" w:lineRule="auto"/>
              <w:ind w:left="145" w:right="135" w:firstLine="0"/>
              <w:jc w:val="both"/>
              <w:rPr>
                <w:sz w:val="16"/>
                <w:szCs w:val="16"/>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135" w:firstLine="0"/>
              <w:jc w:val="both"/>
              <w:rPr>
                <w:color w:val="000000"/>
                <w:sz w:val="16"/>
                <w:szCs w:val="16"/>
              </w:rPr>
            </w:pPr>
            <w:r w:rsidDel="00000000" w:rsidR="00000000" w:rsidRPr="00000000">
              <w:rPr>
                <w:color w:val="000000"/>
                <w:sz w:val="16"/>
                <w:szCs w:val="16"/>
                <w:rtl w:val="0"/>
              </w:rPr>
              <w:t xml:space="preserve">The ACA may impose fines (Articles 73, 74, 75, 76). The ACA may also impose fines not exceeding 5 million leks ($53,</w:t>
            </w:r>
            <w:r w:rsidDel="00000000" w:rsidR="00000000" w:rsidRPr="00000000">
              <w:rPr>
                <w:sz w:val="16"/>
                <w:szCs w:val="16"/>
                <w:rtl w:val="0"/>
              </w:rPr>
              <w:t xml:space="preserve">580</w:t>
            </w:r>
            <w:r w:rsidDel="00000000" w:rsidR="00000000" w:rsidRPr="00000000">
              <w:rPr>
                <w:color w:val="000000"/>
                <w:sz w:val="16"/>
                <w:szCs w:val="16"/>
                <w:rtl w:val="0"/>
              </w:rPr>
              <w:t xml:space="preserve">.50 USD) on individuals if they intentionally or negligently carry out or cooperate sanctioned actions.</w:t>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0" w:right="130" w:firstLine="0"/>
              <w:jc w:val="both"/>
              <w:rPr>
                <w:sz w:val="16"/>
                <w:szCs w:val="16"/>
              </w:rPr>
            </w:pPr>
            <w:r w:rsidDel="00000000" w:rsidR="00000000" w:rsidRPr="00000000">
              <w:rPr>
                <w:rtl w:val="0"/>
              </w:rPr>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0" w:right="130" w:firstLine="0"/>
              <w:jc w:val="both"/>
              <w:rPr>
                <w:sz w:val="16"/>
                <w:szCs w:val="16"/>
              </w:rPr>
            </w:pPr>
            <w:r w:rsidDel="00000000" w:rsidR="00000000" w:rsidRPr="00000000">
              <w:rPr>
                <w:sz w:val="16"/>
                <w:szCs w:val="16"/>
                <w:rtl w:val="0"/>
              </w:rPr>
              <w:t xml:space="preserve">Under Article 10 of Law No. 9121, concentrations of undertakings are defined as a merger of 2 or more independent undertakings, the acquisition of control over 1 or more undertakings whether by purchase of securities or assets, by contract, or any other legal means, and the creation by 2 or more undertakings of a full function joint venture. Concentrations that meet the thresholds defined in Article 12 must be notified to the ACA. Under Article 14, concentrations under Article 10 may not be put into effect before giving notice to the ACA. Per Article 54, the ACA will provide written confirmation of receipt of the notification.</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0" w:right="130" w:firstLine="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0" w:right="130" w:firstLine="0"/>
              <w:jc w:val="both"/>
              <w:rPr>
                <w:sz w:val="16"/>
                <w:szCs w:val="16"/>
              </w:rPr>
            </w:pPr>
            <w:r w:rsidDel="00000000" w:rsidR="00000000" w:rsidRPr="00000000">
              <w:rPr>
                <w:sz w:val="16"/>
                <w:szCs w:val="16"/>
                <w:rtl w:val="0"/>
              </w:rPr>
              <w:t xml:space="preserve">If the ACA finds that the transaction does not show any indication of significant restriction of competition in the market, the ACA will authorize the concentration within 2 months from the date of the notification. If the ACA finds indications of significant restriction, the ACA will authorize the concentration contingent on meeting certain conditions and obligations or open an in-depth investigation. Per Article 57, the ACA will decide to declare whether a concentration is prohibited within 3 months of starting an in-depth investigation.</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0" w:right="13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76" w:lineRule="auto"/>
              <w:ind w:left="145" w:right="180" w:firstLine="0"/>
              <w:jc w:val="both"/>
              <w:rPr>
                <w:color w:val="000000"/>
                <w:sz w:val="16"/>
                <w:szCs w:val="16"/>
              </w:rPr>
            </w:pPr>
            <w:r w:rsidDel="00000000" w:rsidR="00000000" w:rsidRPr="00000000">
              <w:rPr>
                <w:color w:val="000000"/>
                <w:sz w:val="16"/>
                <w:szCs w:val="16"/>
                <w:rtl w:val="0"/>
              </w:rPr>
              <w:t xml:space="preserve">Under Article 12 of Law No. 9121, concentrations must be notified to the ACA if in the financial year preceding the concentration: </w:t>
            </w:r>
          </w:p>
          <w:p w:rsidR="00000000" w:rsidDel="00000000" w:rsidP="00000000" w:rsidRDefault="00000000" w:rsidRPr="00000000" w14:paraId="0000028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8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the aggregate worldwide turnover of all the participating undertakings exceeds 7 billion (approx. $75M USD) and the individual turnover of at least one participating undertaking in Albania exceeds 200 million (approx. $2M USD) ; or </w:t>
            </w:r>
          </w:p>
          <w:p w:rsidR="00000000" w:rsidDel="00000000" w:rsidP="00000000" w:rsidRDefault="00000000" w:rsidRPr="00000000" w14:paraId="0000028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8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the aggregate turnover in Albania of all the participating undertakings exceeds 400 million (approx. $4M USD) and the turnover of at least one participating undertaking in the domestic market exceeds 200 million (approx. $2M USD).</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ind w:left="145" w:right="90" w:firstLine="0"/>
              <w:rPr>
                <w:color w:val="000000"/>
                <w:sz w:val="16"/>
                <w:szCs w:val="16"/>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76" w:lineRule="auto"/>
              <w:ind w:left="145" w:right="90" w:firstLine="0"/>
              <w:jc w:val="both"/>
              <w:rPr>
                <w:color w:val="000000"/>
                <w:sz w:val="16"/>
                <w:szCs w:val="16"/>
              </w:rPr>
            </w:pPr>
            <w:r w:rsidDel="00000000" w:rsidR="00000000" w:rsidRPr="00000000">
              <w:rPr>
                <w:color w:val="000000"/>
                <w:sz w:val="16"/>
                <w:szCs w:val="16"/>
                <w:rtl w:val="0"/>
              </w:rPr>
              <w:t xml:space="preserve">Under Article 14, concentrations shall not be put into effect before its notification to the ACA, until it has been authorized by the AACCA, or until conditions attached to the authorization have been fulfilled.</w:t>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ind w:left="145" w:right="90" w:firstLine="0"/>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ind w:left="107" w:right="90" w:firstLine="0"/>
              <w:jc w:val="both"/>
              <w:rPr>
                <w:color w:val="000000"/>
                <w:sz w:val="16"/>
                <w:szCs w:val="16"/>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76" w:lineRule="auto"/>
              <w:ind w:left="145" w:right="90" w:firstLine="0"/>
              <w:jc w:val="both"/>
              <w:rPr>
                <w:color w:val="000000"/>
                <w:sz w:val="16"/>
                <w:szCs w:val="16"/>
              </w:rPr>
            </w:pPr>
            <w:r w:rsidDel="00000000" w:rsidR="00000000" w:rsidRPr="00000000">
              <w:rPr>
                <w:color w:val="000000"/>
                <w:sz w:val="16"/>
                <w:szCs w:val="16"/>
                <w:rtl w:val="0"/>
              </w:rPr>
              <w:t xml:space="preserve">Under Article 59 of Law No. 9121, the ACA may conduct ex-post merger investigations (the deadline for the investigation starts at the point at which the ACA is in possession of complete information that should have been provided in the notification of concentration).</w:t>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76" w:lineRule="auto"/>
              <w:ind w:left="14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ind w:left="107" w:right="90" w:firstLine="0"/>
              <w:jc w:val="both"/>
              <w:rPr>
                <w:color w:val="000000"/>
                <w:sz w:val="16"/>
                <w:szCs w:val="1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line="276" w:lineRule="auto"/>
              <w:ind w:left="107" w:right="90" w:firstLine="0"/>
              <w:jc w:val="both"/>
              <w:rPr>
                <w:color w:val="000000"/>
                <w:sz w:val="16"/>
                <w:szCs w:val="16"/>
              </w:rPr>
            </w:pPr>
            <w:r w:rsidDel="00000000" w:rsidR="00000000" w:rsidRPr="00000000">
              <w:rPr>
                <w:color w:val="000000"/>
                <w:sz w:val="16"/>
                <w:szCs w:val="16"/>
                <w:rtl w:val="0"/>
              </w:rPr>
              <w:t xml:space="preserve">The ACA may impose penalties for failing to notify the ACA of a concentration, implementing a concentration before approval or after prohibition, or for failing to observe remedies imposed by the ACA (see Articles 59, 62).</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76" w:lineRule="auto"/>
              <w:ind w:left="107"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line="276" w:lineRule="auto"/>
              <w:ind w:right="90"/>
              <w:rPr>
                <w:color w:val="000000"/>
                <w:sz w:val="16"/>
                <w:szCs w:val="16"/>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ind w:left="145" w:right="90" w:firstLine="0"/>
              <w:jc w:val="both"/>
              <w:rPr>
                <w:color w:val="000000"/>
                <w:sz w:val="16"/>
                <w:szCs w:val="16"/>
              </w:rPr>
            </w:pPr>
            <w:r w:rsidDel="00000000" w:rsidR="00000000" w:rsidRPr="00000000">
              <w:rPr>
                <w:color w:val="000000"/>
                <w:sz w:val="16"/>
                <w:szCs w:val="16"/>
                <w:rtl w:val="0"/>
              </w:rPr>
              <w:t xml:space="preserve">The ACA may conduct dawn raids (see the Regulation on Investigation Procedures). An order from a judge is required.</w:t>
            </w:r>
          </w:p>
        </w:tc>
      </w:tr>
      <w:tr>
        <w:trPr>
          <w:cantSplit w:val="0"/>
          <w:trHeight w:val="359" w:hRule="atLeast"/>
          <w:tblHeader w:val="0"/>
        </w:trPr>
        <w:tc>
          <w:tcPr>
            <w:gridSpan w:val="3"/>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Article 28 of Law No. 9121.</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color w:val="000000"/>
                <w:sz w:val="16"/>
                <w:szCs w:val="16"/>
                <w:rtl w:val="0"/>
              </w:rPr>
              <w:t xml:space="preserve">Under Article 77 of Law No. 9121, the ACA may grant total or partial immunity from fines to undertakings which help provide evidence of the prohibited practice and identify perpetrators based on information not previously available to the ACA. Relief from financial penalties is granted in proportion to the contribution made to identify and prohibit the violation.</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color w:val="000000"/>
                <w:sz w:val="16"/>
                <w:szCs w:val="16"/>
                <w:rtl w:val="0"/>
              </w:rPr>
              <w:t xml:space="preserve">The ACA has issued a Regulation on the Fine Leniency Programme (</w:t>
            </w:r>
            <w:hyperlink r:id="rId12">
              <w:r w:rsidDel="00000000" w:rsidR="00000000" w:rsidRPr="00000000">
                <w:rPr>
                  <w:color w:val="0000ff"/>
                  <w:sz w:val="16"/>
                  <w:szCs w:val="16"/>
                  <w:u w:val="single"/>
                  <w:rtl w:val="0"/>
                </w:rPr>
                <w:t xml:space="preserve">http://caa.gov.al/laws/read/id/80</w:t>
              </w:r>
            </w:hyperlink>
            <w:r w:rsidDel="00000000" w:rsidR="00000000" w:rsidRPr="00000000">
              <w:rPr>
                <w:color w:val="000000"/>
                <w:sz w:val="16"/>
                <w:szCs w:val="16"/>
                <w:rtl w:val="0"/>
              </w:rPr>
              <w:t xml:space="preserve">). </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seek criminal punishment?</w:t>
            </w:r>
          </w:p>
        </w:tc>
        <w:tc>
          <w:tcPr>
            <w:gridSpan w:val="6"/>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 </w:t>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color w:val="000000"/>
                <w:sz w:val="16"/>
                <w:szCs w:val="16"/>
                <w:rtl w:val="0"/>
              </w:rPr>
              <w:t xml:space="preserve"> </w:t>
            </w:r>
          </w:p>
        </w:tc>
      </w:tr>
      <w:tr>
        <w:trPr>
          <w:cantSplit w:val="0"/>
          <w:trHeight w:val="179" w:hRule="atLeast"/>
          <w:tblHeader w:val="0"/>
        </w:trPr>
        <w:tc>
          <w:tcPr>
            <w:gridSpan w:val="12"/>
            <w:shd w:fill="d2c7b4" w:val="clear"/>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Under Article 24 of Law No. 9121, the ACA may give opinions upon Parliament’s request on issues or legislation related to competition.</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16">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2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4"/>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5"/>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3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sdt>
              <w:sdtPr>
                <w:tag w:val="goog_rdk_6"/>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Yes </w:t>
            </w:r>
            <w:r w:rsidDel="00000000" w:rsidR="00000000" w:rsidRPr="00000000">
              <w:rPr>
                <w:rtl w:val="0"/>
              </w:rPr>
            </w:r>
          </w:p>
        </w:tc>
        <w:tc>
          <w:tcPr>
            <w:gridSpan w:val="3"/>
            <w:shd w:fill="auto" w:val="clear"/>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Article 24 of Law No. 9121, the ACA issues regulations and guidelines necessary for the implementation of Law No. 9121. These regulations and guidelines are available on the ACA’s website (</w:t>
            </w:r>
            <w:hyperlink r:id="rId13">
              <w:r w:rsidDel="00000000" w:rsidR="00000000" w:rsidRPr="00000000">
                <w:rPr>
                  <w:color w:val="0000ff"/>
                  <w:sz w:val="16"/>
                  <w:szCs w:val="16"/>
                  <w:u w:val="single"/>
                  <w:rtl w:val="0"/>
                </w:rPr>
                <w:t xml:space="preserve">http://caa.gov.al/laws/list/category/1/page/1</w:t>
              </w:r>
            </w:hyperlink>
            <w:r w:rsidDel="00000000" w:rsidR="00000000" w:rsidRPr="00000000">
              <w:rPr>
                <w:color w:val="000000"/>
                <w:sz w:val="16"/>
                <w:szCs w:val="16"/>
                <w:rtl w:val="0"/>
              </w:rPr>
              <w:t xml:space="preserve">). </w:t>
            </w:r>
          </w:p>
        </w:tc>
      </w:tr>
      <w:tr>
        <w:trPr>
          <w:cantSplit w:val="0"/>
          <w:trHeight w:val="178" w:hRule="atLeast"/>
          <w:tblHeader w:val="0"/>
        </w:trPr>
        <w:tc>
          <w:tcPr>
            <w:gridSpan w:val="12"/>
            <w:shd w:fill="d2c7b4" w:val="clear"/>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Article 41 of Law No. 9121, the ACA may conduct inquiries into sectors of the economy, may request undertakings or associations to provide the information required for the enquiry, and may publish a report on the industry-wide results and invite comments from interested parties.</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6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Article 41 of Law No. 9121, the ACA may conduct inquiries into sectors of the economy on its own imitative or following a request from Parliament or other regulators.</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7A">
            <w:pPr>
              <w:pStyle w:val="Heading2"/>
              <w:spacing w:before="120" w:line="276" w:lineRule="auto"/>
              <w:ind w:left="3841" w:right="3834" w:firstLine="0"/>
              <w:jc w:val="center"/>
              <w:rPr>
                <w:sz w:val="20"/>
                <w:szCs w:val="20"/>
              </w:rPr>
            </w:pPr>
            <w:bookmarkStart w:colFirst="0" w:colLast="0" w:name="_heading=h.ex8hwnvb151b" w:id="10"/>
            <w:bookmarkEnd w:id="10"/>
            <w:r w:rsidDel="00000000" w:rsidR="00000000" w:rsidRPr="00000000">
              <w:rPr>
                <w:sz w:val="20"/>
                <w:szCs w:val="20"/>
                <w:rtl w:val="0"/>
              </w:rPr>
              <w:t xml:space="preserve">Decision-Making Functions</w:t>
            </w:r>
          </w:p>
        </w:tc>
      </w:tr>
      <w:tr>
        <w:trPr>
          <w:cantSplit w:val="0"/>
          <w:trHeight w:val="179" w:hRule="atLeast"/>
          <w:tblHeader w:val="0"/>
        </w:trPr>
        <w:tc>
          <w:tcPr>
            <w:gridSpan w:val="12"/>
            <w:shd w:fill="d2c7b4" w:val="clear"/>
          </w:tcPr>
          <w:p w:rsidR="00000000" w:rsidDel="00000000" w:rsidP="00000000" w:rsidRDefault="00000000" w:rsidRPr="00000000" w14:paraId="00000386">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9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Article 42 of Law No. 9121.</w:t>
            </w:r>
          </w:p>
        </w:tc>
      </w:tr>
      <w:tr>
        <w:trPr>
          <w:cantSplit w:val="0"/>
          <w:trHeight w:val="359" w:hRule="atLeast"/>
          <w:tblHeader w:val="0"/>
        </w:trPr>
        <w:tc>
          <w:tcPr>
            <w:gridSpan w:val="3"/>
          </w:tcPr>
          <w:p w:rsidR="00000000" w:rsidDel="00000000" w:rsidP="00000000" w:rsidRDefault="00000000" w:rsidRPr="00000000" w14:paraId="0000039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A1">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A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For serious infringements, the ACA may impose fines of up to 10% of respective turnover generated in the preceding business year (Article 74). Article 75 explains the valuation of the fine, which takes into account the gravity, extent, and duration of the infringement. Under Article 76, the ACA may impose periodic fines (for each working day of delay not exceeding 5% of their average daily turnover in the preceding business year). These periodic fines may be imposed to compel undertakings to cease infringements, comply with a decision, or comply with a commitment.</w:t>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The Secretariat conducts administrative investigations (see Articles 27 and 28). The Secretariat then compiles and submits </w:t>
            </w:r>
            <w:r w:rsidDel="00000000" w:rsidR="00000000" w:rsidRPr="00000000">
              <w:rPr>
                <w:sz w:val="16"/>
                <w:szCs w:val="16"/>
                <w:rtl w:val="0"/>
              </w:rPr>
              <w:t xml:space="preserve">investigation</w:t>
            </w:r>
            <w:r w:rsidDel="00000000" w:rsidR="00000000" w:rsidRPr="00000000">
              <w:rPr>
                <w:color w:val="000000"/>
                <w:sz w:val="16"/>
                <w:szCs w:val="16"/>
                <w:rtl w:val="0"/>
              </w:rPr>
              <w:t xml:space="preserve"> reports to the Commission for decision-making. When the Commission has decided a case, the Secretariat will then ensure the decision is published and follow and supervise the implementation of the decision.</w:t>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ACA’s decisions may be appealed and reviewed by a court (Administrative Court of First Instance, Administrative Court of Appeal, and then the High Court).</w:t>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3C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3D5">
      <w:pPr>
        <w:spacing w:line="276" w:lineRule="auto"/>
        <w:rPr>
          <w:sz w:val="16"/>
          <w:szCs w:val="16"/>
        </w:rPr>
      </w:pPr>
      <w:r w:rsidDel="00000000" w:rsidR="00000000" w:rsidRPr="00000000">
        <w:rPr>
          <w:rtl w:val="0"/>
        </w:rPr>
      </w:r>
    </w:p>
    <w:p w:rsidR="00000000" w:rsidDel="00000000" w:rsidP="00000000" w:rsidRDefault="00000000" w:rsidRPr="00000000" w14:paraId="000003D6">
      <w:pPr>
        <w:ind w:left="1610" w:right="1610" w:firstLine="0"/>
        <w:jc w:val="center"/>
        <w:rPr>
          <w:b w:val="1"/>
          <w:sz w:val="30"/>
          <w:szCs w:val="30"/>
        </w:rPr>
      </w:pPr>
      <w:r w:rsidDel="00000000" w:rsidR="00000000" w:rsidRPr="00000000">
        <w:rPr>
          <w:rtl w:val="0"/>
        </w:rPr>
      </w:r>
    </w:p>
    <w:sectPr>
      <w:headerReference r:id="rId14" w:type="default"/>
      <w:footerReference r:id="rId15"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8">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7">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
      <w:numFmt w:val="bullet"/>
      <w:lvlText w:val="-"/>
      <w:lvlJc w:val="left"/>
      <w:pPr>
        <w:ind w:left="720" w:hanging="360"/>
      </w:pPr>
      <w:rPr>
        <w:rFonts w:ascii="Garamond" w:cs="Garamond" w:eastAsia="Garamond" w:hAnsi="Garamon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character" w:styleId="FollowedHyperlink">
    <w:name w:val="FollowedHyperlink"/>
    <w:basedOn w:val="DefaultParagraphFont"/>
    <w:uiPriority w:val="99"/>
    <w:semiHidden w:val="1"/>
    <w:unhideWhenUsed w:val="1"/>
    <w:rsid w:val="00D77AF6"/>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caa.gov.al/trasparency/budget" TargetMode="External"/><Relationship Id="rId10" Type="http://schemas.openxmlformats.org/officeDocument/2006/relationships/hyperlink" Target="http://www.caa.gov.al/about/structure" TargetMode="External"/><Relationship Id="rId13" Type="http://schemas.openxmlformats.org/officeDocument/2006/relationships/hyperlink" Target="http://caa.gov.al/laws/list/category/1/page/1" TargetMode="External"/><Relationship Id="rId12" Type="http://schemas.openxmlformats.org/officeDocument/2006/relationships/hyperlink" Target="http://caa.gov.al/laws/read/id/8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a.gov.al/"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qbz.gov.al/eli/ligj/2003/07/28/9121" TargetMode="External"/><Relationship Id="rId8" Type="http://schemas.openxmlformats.org/officeDocument/2006/relationships/hyperlink" Target="http://qbz.gov.al/eli/ligj/2003/07/28/91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WbyHdD9JL+IAwUUzD29PM2MfQ==">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2023-06-27T19:10:00Z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